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DB" w:rsidRPr="00FD41DB" w:rsidRDefault="00FD41DB" w:rsidP="00FD41DB">
      <w:pPr>
        <w:rPr>
          <w:rFonts w:asciiTheme="minorHAnsi" w:hAnsiTheme="minorHAnsi"/>
          <w:b/>
          <w:sz w:val="28"/>
        </w:rPr>
      </w:pPr>
      <w:r w:rsidRPr="00FD41DB">
        <w:rPr>
          <w:rFonts w:asciiTheme="minorHAnsi" w:hAnsiTheme="minorHAnsi"/>
          <w:b/>
          <w:sz w:val="28"/>
        </w:rPr>
        <w:t xml:space="preserve">Highlights of Final Administrative Rules </w:t>
      </w:r>
      <w:r w:rsidRPr="00FD41DB">
        <w:rPr>
          <w:rFonts w:asciiTheme="minorHAnsi" w:hAnsiTheme="minorHAnsi"/>
          <w:b/>
          <w:sz w:val="28"/>
        </w:rPr>
        <w:br/>
        <w:t>for the City of Seattle Secure Scheduling Ordinance</w:t>
      </w:r>
    </w:p>
    <w:p w:rsidR="00FD41DB" w:rsidRPr="00FD41DB" w:rsidRDefault="00FD41DB" w:rsidP="00FD41DB">
      <w:pPr>
        <w:rPr>
          <w:rFonts w:asciiTheme="minorHAnsi" w:hAnsiTheme="minorHAnsi"/>
          <w:b/>
          <w:sz w:val="28"/>
        </w:rPr>
      </w:pPr>
    </w:p>
    <w:p w:rsidR="00FD41DB" w:rsidRPr="00FD41DB" w:rsidRDefault="00FD41DB" w:rsidP="00FD41DB">
      <w:pPr>
        <w:rPr>
          <w:rFonts w:asciiTheme="minorHAnsi" w:hAnsiTheme="minorHAnsi"/>
        </w:rPr>
      </w:pPr>
      <w:r w:rsidRPr="00FD41DB">
        <w:rPr>
          <w:rFonts w:asciiTheme="minorHAnsi" w:hAnsiTheme="minorHAnsi"/>
        </w:rPr>
        <w:t xml:space="preserve">Please note: Changes from original draft rules are </w:t>
      </w:r>
      <w:r w:rsidRPr="00FD41DB">
        <w:rPr>
          <w:rFonts w:asciiTheme="minorHAnsi" w:hAnsiTheme="minorHAnsi"/>
          <w:i/>
        </w:rPr>
        <w:t>italicized</w:t>
      </w:r>
      <w:r w:rsidRPr="00FD41DB">
        <w:rPr>
          <w:rFonts w:asciiTheme="minorHAnsi" w:hAnsiTheme="minorHAnsi"/>
        </w:rPr>
        <w:t>.</w:t>
      </w:r>
    </w:p>
    <w:p w:rsidR="00FD41DB" w:rsidRPr="00FD41DB" w:rsidRDefault="00FD41DB" w:rsidP="00FD41DB">
      <w:pPr>
        <w:rPr>
          <w:rFonts w:asciiTheme="minorHAnsi" w:hAnsiTheme="minorHAnsi"/>
          <w:u w:val="single"/>
        </w:rPr>
      </w:pPr>
    </w:p>
    <w:p w:rsidR="00FD41DB" w:rsidRPr="00FD41DB" w:rsidRDefault="00FD41DB" w:rsidP="00FD41DB">
      <w:pPr>
        <w:numPr>
          <w:ilvl w:val="0"/>
          <w:numId w:val="22"/>
        </w:numPr>
        <w:ind w:left="360"/>
        <w:rPr>
          <w:rFonts w:asciiTheme="minorHAnsi" w:hAnsiTheme="minorHAnsi" w:cs="Arial"/>
        </w:rPr>
      </w:pPr>
      <w:r w:rsidRPr="00FD41DB">
        <w:rPr>
          <w:rFonts w:asciiTheme="minorHAnsi" w:hAnsiTheme="minorHAnsi"/>
          <w:b/>
        </w:rPr>
        <w:t>Bona fide business reason</w:t>
      </w:r>
      <w:r w:rsidRPr="00FD41DB">
        <w:rPr>
          <w:rFonts w:asciiTheme="minorHAnsi" w:hAnsiTheme="minorHAnsi"/>
        </w:rPr>
        <w:t xml:space="preserve">. </w:t>
      </w:r>
      <w:r w:rsidRPr="00FD41DB">
        <w:rPr>
          <w:rFonts w:asciiTheme="minorHAnsi" w:hAnsiTheme="minorHAnsi" w:cs="Arial"/>
        </w:rPr>
        <w:t>Bona fide business reasons for declining an employee’s request for work schedule preferences include</w:t>
      </w:r>
      <w:r>
        <w:rPr>
          <w:rFonts w:asciiTheme="minorHAnsi" w:hAnsiTheme="minorHAnsi" w:cs="Arial"/>
        </w:rPr>
        <w:t>:</w:t>
      </w:r>
    </w:p>
    <w:p w:rsidR="00FD41DB" w:rsidRPr="00FD41DB" w:rsidRDefault="00FD41DB" w:rsidP="00BD4155">
      <w:pPr>
        <w:numPr>
          <w:ilvl w:val="1"/>
          <w:numId w:val="22"/>
        </w:numPr>
        <w:ind w:left="720"/>
        <w:rPr>
          <w:rFonts w:asciiTheme="minorHAnsi" w:hAnsiTheme="minorHAnsi" w:cs="Arial"/>
        </w:rPr>
      </w:pPr>
      <w:r w:rsidRPr="00FD41DB">
        <w:rPr>
          <w:rFonts w:asciiTheme="minorHAnsi" w:hAnsiTheme="minorHAnsi" w:cs="Arial"/>
        </w:rPr>
        <w:t>A work schedule change that would require an employer to pay additiona</w:t>
      </w:r>
      <w:r w:rsidR="00673888">
        <w:rPr>
          <w:rFonts w:asciiTheme="minorHAnsi" w:hAnsiTheme="minorHAnsi" w:cs="Arial"/>
        </w:rPr>
        <w:t>l compensation under the Secure</w:t>
      </w:r>
      <w:r w:rsidRPr="00FD41DB">
        <w:rPr>
          <w:rFonts w:asciiTheme="minorHAnsi" w:hAnsiTheme="minorHAnsi" w:cs="Arial"/>
        </w:rPr>
        <w:t xml:space="preserve"> Scheduling Ordinance, the Fair Labor Standards Act, the Minimum Wage Act, or the employer’s own written policy (e.g. holiday pay);</w:t>
      </w:r>
    </w:p>
    <w:p w:rsidR="00FD41DB" w:rsidRPr="00FD41DB" w:rsidRDefault="00FD41DB" w:rsidP="00FD41DB">
      <w:pPr>
        <w:numPr>
          <w:ilvl w:val="1"/>
          <w:numId w:val="22"/>
        </w:numPr>
        <w:ind w:left="720"/>
        <w:rPr>
          <w:rFonts w:asciiTheme="minorHAnsi" w:hAnsiTheme="minorHAnsi" w:cs="Arial"/>
        </w:rPr>
      </w:pPr>
      <w:r w:rsidRPr="00FD41DB">
        <w:rPr>
          <w:rFonts w:asciiTheme="minorHAnsi" w:hAnsiTheme="minorHAnsi" w:cs="Arial"/>
        </w:rPr>
        <w:t>A</w:t>
      </w:r>
      <w:r w:rsidRPr="00FD41DB">
        <w:rPr>
          <w:rFonts w:asciiTheme="minorHAnsi" w:hAnsiTheme="minorHAnsi"/>
        </w:rPr>
        <w:t>n action that would cause the employer to violate an administrative rule;</w:t>
      </w:r>
    </w:p>
    <w:p w:rsidR="00FD41DB" w:rsidRPr="00FD41DB" w:rsidRDefault="00FD41DB" w:rsidP="00FD41DB">
      <w:pPr>
        <w:numPr>
          <w:ilvl w:val="1"/>
          <w:numId w:val="22"/>
        </w:numPr>
        <w:ind w:left="720"/>
        <w:rPr>
          <w:rFonts w:asciiTheme="minorHAnsi" w:hAnsiTheme="minorHAnsi" w:cs="Arial"/>
        </w:rPr>
      </w:pPr>
      <w:r w:rsidRPr="00FD41DB">
        <w:rPr>
          <w:rFonts w:asciiTheme="minorHAnsi" w:hAnsiTheme="minorHAnsi" w:cs="Arial"/>
        </w:rPr>
        <w:t xml:space="preserve">An </w:t>
      </w:r>
      <w:r w:rsidRPr="00FD41DB">
        <w:rPr>
          <w:rFonts w:asciiTheme="minorHAnsi" w:hAnsiTheme="minorHAnsi"/>
        </w:rPr>
        <w:t>action that would cause the employer to violate a bona fide collective bargaining agreement;</w:t>
      </w:r>
    </w:p>
    <w:p w:rsidR="00FD41DB" w:rsidRPr="00BD4155" w:rsidRDefault="00FD41DB" w:rsidP="00FD41DB">
      <w:pPr>
        <w:pStyle w:val="Default"/>
        <w:numPr>
          <w:ilvl w:val="1"/>
          <w:numId w:val="22"/>
        </w:numPr>
        <w:ind w:left="720"/>
        <w:rPr>
          <w:rFonts w:asciiTheme="minorHAnsi" w:hAnsiTheme="minorHAnsi"/>
          <w:b/>
          <w:color w:val="auto"/>
          <w:szCs w:val="22"/>
        </w:rPr>
      </w:pPr>
      <w:r w:rsidRPr="00BD4155">
        <w:rPr>
          <w:rFonts w:asciiTheme="minorHAnsi" w:hAnsiTheme="minorHAnsi"/>
          <w:color w:val="auto"/>
          <w:szCs w:val="22"/>
        </w:rPr>
        <w:t>An action that would cause the employer to provide a work schedule that conflicts with, a seniority system in a written policy and/or bona fide collective bargaining agreement.</w:t>
      </w:r>
    </w:p>
    <w:p w:rsidR="00FD41DB" w:rsidRPr="00BD4155" w:rsidRDefault="00FD41DB" w:rsidP="00FD41DB">
      <w:pPr>
        <w:pStyle w:val="Default"/>
        <w:numPr>
          <w:ilvl w:val="1"/>
          <w:numId w:val="22"/>
        </w:numPr>
        <w:ind w:left="720"/>
        <w:rPr>
          <w:rFonts w:asciiTheme="minorHAnsi" w:hAnsiTheme="minorHAnsi"/>
          <w:b/>
          <w:color w:val="auto"/>
          <w:szCs w:val="22"/>
        </w:rPr>
      </w:pPr>
      <w:r w:rsidRPr="00BD4155">
        <w:rPr>
          <w:rFonts w:asciiTheme="minorHAnsi" w:hAnsiTheme="minorHAnsi"/>
          <w:color w:val="auto"/>
          <w:szCs w:val="22"/>
        </w:rPr>
        <w:t>An action that would cause the employer to displace</w:t>
      </w:r>
      <w:r w:rsidRPr="00BD4155">
        <w:rPr>
          <w:rFonts w:asciiTheme="minorHAnsi" w:hAnsiTheme="minorHAnsi"/>
          <w:b/>
          <w:color w:val="auto"/>
          <w:szCs w:val="22"/>
        </w:rPr>
        <w:t xml:space="preserve"> </w:t>
      </w:r>
      <w:r w:rsidRPr="00BD4155">
        <w:rPr>
          <w:rFonts w:asciiTheme="minorHAnsi" w:hAnsiTheme="minorHAnsi"/>
          <w:color w:val="auto"/>
          <w:szCs w:val="22"/>
        </w:rPr>
        <w:t xml:space="preserve">one or more employee(s) from an existing work schedule arrangement. </w:t>
      </w:r>
      <w:r w:rsidRPr="00BD4155">
        <w:rPr>
          <w:rFonts w:asciiTheme="minorHAnsi" w:hAnsiTheme="minorHAnsi"/>
          <w:i/>
          <w:color w:val="auto"/>
          <w:szCs w:val="22"/>
        </w:rPr>
        <w:t>Added #3 and #5.</w:t>
      </w:r>
    </w:p>
    <w:p w:rsidR="00FD41DB" w:rsidRPr="00FD41DB" w:rsidRDefault="00FD41DB" w:rsidP="00FD41DB">
      <w:pPr>
        <w:rPr>
          <w:rFonts w:asciiTheme="minorHAnsi" w:hAnsiTheme="minorHAnsi"/>
          <w:sz w:val="16"/>
        </w:rPr>
      </w:pPr>
      <w:bookmarkStart w:id="0" w:name="_Hlk478978825"/>
    </w:p>
    <w:p w:rsidR="00FD41DB" w:rsidRPr="00FD41DB" w:rsidRDefault="00FD41DB" w:rsidP="00FD41DB">
      <w:pPr>
        <w:pStyle w:val="ListParagraph"/>
        <w:numPr>
          <w:ilvl w:val="0"/>
          <w:numId w:val="23"/>
        </w:numPr>
        <w:ind w:left="360"/>
        <w:rPr>
          <w:rFonts w:asciiTheme="minorHAnsi" w:hAnsiTheme="minorHAnsi"/>
          <w:i/>
        </w:rPr>
      </w:pPr>
      <w:r w:rsidRPr="00FD41DB">
        <w:rPr>
          <w:rFonts w:asciiTheme="minorHAnsi" w:hAnsiTheme="minorHAnsi"/>
          <w:b/>
        </w:rPr>
        <w:t>Employee’s other job or jobs.</w:t>
      </w:r>
      <w:r w:rsidRPr="00FD41DB">
        <w:rPr>
          <w:rFonts w:asciiTheme="minorHAnsi" w:hAnsiTheme="minorHAnsi"/>
        </w:rPr>
        <w:t xml:space="preserve"> Job means employment by the same or different employer. </w:t>
      </w:r>
      <w:r w:rsidRPr="00FD41DB">
        <w:rPr>
          <w:rFonts w:asciiTheme="minorHAnsi" w:hAnsiTheme="minorHAnsi"/>
          <w:i/>
        </w:rPr>
        <w:t>Removed independent contractor.</w:t>
      </w:r>
    </w:p>
    <w:bookmarkEnd w:id="0"/>
    <w:p w:rsidR="00FD41DB" w:rsidRPr="00FD41DB" w:rsidRDefault="00FD41DB" w:rsidP="00FD41DB">
      <w:pPr>
        <w:ind w:left="360"/>
        <w:rPr>
          <w:rFonts w:asciiTheme="minorHAnsi" w:hAnsiTheme="minorHAnsi"/>
          <w:sz w:val="16"/>
        </w:rPr>
      </w:pPr>
    </w:p>
    <w:p w:rsidR="00FD41DB" w:rsidRPr="004066B8" w:rsidRDefault="00FD41DB" w:rsidP="004066B8">
      <w:pPr>
        <w:pStyle w:val="ListParagraph"/>
        <w:numPr>
          <w:ilvl w:val="0"/>
          <w:numId w:val="25"/>
        </w:numPr>
        <w:tabs>
          <w:tab w:val="clear" w:pos="720"/>
          <w:tab w:val="num" w:pos="360"/>
        </w:tabs>
        <w:ind w:left="360"/>
        <w:rPr>
          <w:rFonts w:asciiTheme="minorHAnsi" w:hAnsiTheme="minorHAnsi" w:cs="Arial"/>
          <w:i/>
        </w:rPr>
      </w:pPr>
      <w:r w:rsidRPr="004066B8">
        <w:rPr>
          <w:rFonts w:asciiTheme="minorHAnsi" w:hAnsiTheme="minorHAnsi" w:cs="Arial"/>
          <w:b/>
        </w:rPr>
        <w:t>Limits on employee coverage.</w:t>
      </w:r>
      <w:r w:rsidRPr="004066B8">
        <w:rPr>
          <w:rFonts w:asciiTheme="minorHAnsi" w:hAnsiTheme="minorHAnsi" w:cs="Arial"/>
        </w:rPr>
        <w:t xml:space="preserve"> Ordinance does not cover employees who work in hourly administrative or professional positions (e.g. human resources, payroll, and receptionist positions). </w:t>
      </w:r>
      <w:r w:rsidRPr="004066B8">
        <w:rPr>
          <w:rFonts w:asciiTheme="minorHAnsi" w:hAnsiTheme="minorHAnsi" w:cs="Arial"/>
          <w:i/>
        </w:rPr>
        <w:t>Removed modifier, “non-customer facing.</w:t>
      </w:r>
      <w:bookmarkStart w:id="1" w:name="_Hlk479000267"/>
      <w:bookmarkStart w:id="2" w:name="_Hlk478978787"/>
      <w:r w:rsidRPr="004066B8">
        <w:rPr>
          <w:rFonts w:asciiTheme="minorHAnsi" w:hAnsiTheme="minorHAnsi" w:cs="Arial"/>
          <w:i/>
        </w:rPr>
        <w:t>”</w:t>
      </w:r>
    </w:p>
    <w:p w:rsidR="00FD41DB" w:rsidRPr="00FD41DB" w:rsidRDefault="00FD41DB" w:rsidP="004066B8">
      <w:pPr>
        <w:rPr>
          <w:rFonts w:asciiTheme="minorHAnsi" w:hAnsiTheme="minorHAnsi"/>
          <w:sz w:val="16"/>
        </w:rPr>
      </w:pPr>
    </w:p>
    <w:p w:rsidR="00FD41DB" w:rsidRPr="004066B8" w:rsidRDefault="00FD41DB" w:rsidP="004066B8">
      <w:pPr>
        <w:pStyle w:val="ListParagraph"/>
        <w:numPr>
          <w:ilvl w:val="0"/>
          <w:numId w:val="25"/>
        </w:numPr>
        <w:tabs>
          <w:tab w:val="clear" w:pos="720"/>
          <w:tab w:val="num" w:pos="360"/>
        </w:tabs>
        <w:ind w:left="360"/>
        <w:rPr>
          <w:rFonts w:asciiTheme="minorHAnsi" w:hAnsiTheme="minorHAnsi" w:cs="Arial"/>
          <w:i/>
        </w:rPr>
      </w:pPr>
      <w:r w:rsidRPr="004066B8">
        <w:rPr>
          <w:rFonts w:asciiTheme="minorHAnsi" w:hAnsiTheme="minorHAnsi"/>
          <w:b/>
        </w:rPr>
        <w:t>Fixed, point of sale location</w:t>
      </w:r>
      <w:r w:rsidRPr="004066B8">
        <w:rPr>
          <w:rFonts w:asciiTheme="minorHAnsi" w:hAnsiTheme="minorHAnsi"/>
        </w:rPr>
        <w:t xml:space="preserve">. The “fixed, point of sale location” means the location where the employee works, or reports to work, and refers to the entirety of such location, including areas open and closed to the public. </w:t>
      </w:r>
      <w:r w:rsidRPr="004066B8">
        <w:rPr>
          <w:rFonts w:asciiTheme="minorHAnsi" w:hAnsiTheme="minorHAnsi"/>
          <w:i/>
        </w:rPr>
        <w:t>Added “reports to work” to definition of fixed, point of sale location.</w:t>
      </w:r>
      <w:bookmarkEnd w:id="1"/>
      <w:bookmarkEnd w:id="2"/>
    </w:p>
    <w:p w:rsidR="00FD41DB" w:rsidRPr="00FD41DB" w:rsidRDefault="00FD41DB" w:rsidP="004066B8">
      <w:pPr>
        <w:rPr>
          <w:rFonts w:asciiTheme="minorHAnsi" w:hAnsiTheme="minorHAnsi"/>
          <w:sz w:val="16"/>
        </w:rPr>
      </w:pPr>
    </w:p>
    <w:p w:rsidR="00FD41DB" w:rsidRPr="004066B8" w:rsidRDefault="00FD41DB" w:rsidP="004066B8">
      <w:pPr>
        <w:pStyle w:val="ListParagraph"/>
        <w:numPr>
          <w:ilvl w:val="0"/>
          <w:numId w:val="25"/>
        </w:numPr>
        <w:tabs>
          <w:tab w:val="clear" w:pos="720"/>
          <w:tab w:val="num" w:pos="360"/>
        </w:tabs>
        <w:ind w:left="360"/>
        <w:rPr>
          <w:rFonts w:asciiTheme="minorHAnsi" w:hAnsiTheme="minorHAnsi" w:cs="Arial"/>
          <w:i/>
        </w:rPr>
      </w:pPr>
      <w:r w:rsidRPr="004066B8">
        <w:rPr>
          <w:rFonts w:asciiTheme="minorHAnsi" w:hAnsiTheme="minorHAnsi" w:cs="Open Sans"/>
          <w:b/>
          <w:lang w:val="en"/>
        </w:rPr>
        <w:t>Percentage of work at a covered location</w:t>
      </w:r>
      <w:r w:rsidRPr="004066B8">
        <w:rPr>
          <w:rFonts w:asciiTheme="minorHAnsi" w:hAnsiTheme="minorHAnsi" w:cs="Open Sans"/>
          <w:lang w:val="en"/>
        </w:rPr>
        <w:t>. If an employee does not work, or report to work, at a fixed, poin</w:t>
      </w:r>
      <w:bookmarkStart w:id="3" w:name="_GoBack"/>
      <w:bookmarkEnd w:id="3"/>
      <w:r w:rsidRPr="004066B8">
        <w:rPr>
          <w:rFonts w:asciiTheme="minorHAnsi" w:hAnsiTheme="minorHAnsi" w:cs="Open Sans"/>
          <w:lang w:val="en"/>
        </w:rPr>
        <w:t xml:space="preserve">t of sale location, the employee is covered by this ordinance if the employee works, or if the employer reasonably expects the employee to work, at least 50% of the time at the employer’s fixed, point of sale location(s) in Seattle.  </w:t>
      </w:r>
      <w:r w:rsidRPr="004066B8">
        <w:rPr>
          <w:rFonts w:asciiTheme="minorHAnsi" w:hAnsiTheme="minorHAnsi" w:cs="Open Sans"/>
          <w:i/>
          <w:lang w:val="en"/>
        </w:rPr>
        <w:t>Clarified that 50% calculation applies only if the employee does not work or report to work at the fixed, point of sale location.</w:t>
      </w:r>
    </w:p>
    <w:p w:rsidR="00FD41DB" w:rsidRPr="004066B8" w:rsidRDefault="00FD41DB" w:rsidP="004066B8">
      <w:pPr>
        <w:pStyle w:val="ListParagraph"/>
        <w:numPr>
          <w:ilvl w:val="0"/>
          <w:numId w:val="25"/>
        </w:numPr>
        <w:tabs>
          <w:tab w:val="clear" w:pos="720"/>
          <w:tab w:val="num" w:pos="360"/>
        </w:tabs>
        <w:ind w:left="360"/>
        <w:rPr>
          <w:rFonts w:asciiTheme="minorHAnsi" w:hAnsiTheme="minorHAnsi" w:cs="Arial"/>
          <w:i/>
        </w:rPr>
      </w:pPr>
      <w:r w:rsidRPr="004066B8">
        <w:rPr>
          <w:rFonts w:asciiTheme="minorHAnsi" w:hAnsiTheme="minorHAnsi" w:cs="Arial"/>
          <w:b/>
        </w:rPr>
        <w:lastRenderedPageBreak/>
        <w:t>Right to request input into the work schedule – Scope.</w:t>
      </w:r>
      <w:r w:rsidRPr="004066B8">
        <w:rPr>
          <w:rFonts w:asciiTheme="minorHAnsi" w:hAnsiTheme="minorHAnsi" w:cs="Arial"/>
        </w:rPr>
        <w:t xml:space="preserve"> </w:t>
      </w:r>
      <w:r w:rsidRPr="004066B8">
        <w:rPr>
          <w:rFonts w:asciiTheme="minorHAnsi" w:hAnsiTheme="minorHAnsi" w:cs="Open Sans"/>
          <w:lang w:val="en"/>
        </w:rPr>
        <w:t>This section only refers to the employee’s right to make requests for certain times (e.g. hours of the day, length of work shifts) and locations of work  prior to the employer’s advance notice of work schedule required by</w:t>
      </w:r>
      <w:r w:rsidRPr="004066B8">
        <w:rPr>
          <w:rFonts w:asciiTheme="minorHAnsi" w:hAnsiTheme="minorHAnsi"/>
        </w:rPr>
        <w:t xml:space="preserve"> </w:t>
      </w:r>
      <w:hyperlink r:id="rId8" w:history="1">
        <w:r w:rsidRPr="004066B8">
          <w:rPr>
            <w:rStyle w:val="Hyperlink"/>
            <w:rFonts w:asciiTheme="minorHAnsi" w:eastAsiaTheme="majorEastAsia" w:hAnsiTheme="minorHAnsi"/>
          </w:rPr>
          <w:t>SMC 14.22.040</w:t>
        </w:r>
      </w:hyperlink>
      <w:r w:rsidRPr="004066B8">
        <w:rPr>
          <w:rFonts w:asciiTheme="minorHAnsi" w:hAnsiTheme="minorHAnsi"/>
        </w:rPr>
        <w:t xml:space="preserve">. </w:t>
      </w:r>
      <w:r w:rsidRPr="004066B8">
        <w:rPr>
          <w:rFonts w:asciiTheme="minorHAnsi" w:hAnsiTheme="minorHAnsi"/>
          <w:i/>
        </w:rPr>
        <w:t>Added a rule re: “scope” to clarify when these requirements apply.</w:t>
      </w:r>
    </w:p>
    <w:p w:rsidR="00FD41DB" w:rsidRPr="00FD41DB" w:rsidRDefault="00FD41DB" w:rsidP="004066B8">
      <w:pPr>
        <w:rPr>
          <w:rFonts w:asciiTheme="minorHAnsi" w:hAnsiTheme="minorHAnsi"/>
          <w:sz w:val="16"/>
        </w:rPr>
      </w:pPr>
    </w:p>
    <w:p w:rsidR="00FD41DB" w:rsidRPr="004066B8" w:rsidRDefault="00FD41DB" w:rsidP="004066B8">
      <w:pPr>
        <w:pStyle w:val="ListParagraph"/>
        <w:numPr>
          <w:ilvl w:val="0"/>
          <w:numId w:val="25"/>
        </w:numPr>
        <w:tabs>
          <w:tab w:val="clear" w:pos="720"/>
          <w:tab w:val="num" w:pos="360"/>
        </w:tabs>
        <w:ind w:left="360"/>
        <w:rPr>
          <w:rFonts w:asciiTheme="minorHAnsi" w:hAnsiTheme="minorHAnsi" w:cs="Arial"/>
          <w:i/>
        </w:rPr>
      </w:pPr>
      <w:r w:rsidRPr="004066B8">
        <w:rPr>
          <w:rFonts w:asciiTheme="minorHAnsi" w:hAnsiTheme="minorHAnsi" w:cs="Arial"/>
          <w:b/>
        </w:rPr>
        <w:t xml:space="preserve">Right to request input into the work schedule – Third Party Documentation Verifying Information. </w:t>
      </w:r>
      <w:r w:rsidRPr="004066B8">
        <w:rPr>
          <w:rFonts w:asciiTheme="minorHAnsi" w:hAnsiTheme="minorHAnsi" w:cs="Open Sans"/>
          <w:lang w:val="en"/>
        </w:rPr>
        <w:t xml:space="preserve">The employee may submit third party documentation to demonstrate the connection between a major life event and the need for a work schedule change, including but not limited to a notice from a landlord, notice from a child’s school, a class syllabus, and/or pay stub or other documentation of another job. The employer shall inform the employee of the ability to redact or withhold information that the employee wishes to keep private. </w:t>
      </w:r>
      <w:r w:rsidRPr="004066B8">
        <w:rPr>
          <w:rFonts w:asciiTheme="minorHAnsi" w:hAnsiTheme="minorHAnsi" w:cs="Open Sans"/>
          <w:i/>
          <w:lang w:val="en"/>
        </w:rPr>
        <w:t>Added employer duty to inform employee of right to redact to better align with analogous verifying information provisions.</w:t>
      </w:r>
    </w:p>
    <w:p w:rsidR="00FD41DB" w:rsidRPr="00FD41DB" w:rsidRDefault="00FD41DB" w:rsidP="004066B8">
      <w:pPr>
        <w:rPr>
          <w:rFonts w:asciiTheme="minorHAnsi" w:hAnsiTheme="minorHAnsi"/>
          <w:sz w:val="16"/>
        </w:rPr>
      </w:pPr>
    </w:p>
    <w:p w:rsidR="00FD41DB" w:rsidRPr="004066B8" w:rsidRDefault="00FD41DB" w:rsidP="004066B8">
      <w:pPr>
        <w:pStyle w:val="ListParagraph"/>
        <w:numPr>
          <w:ilvl w:val="0"/>
          <w:numId w:val="25"/>
        </w:numPr>
        <w:tabs>
          <w:tab w:val="clear" w:pos="720"/>
          <w:tab w:val="num" w:pos="360"/>
        </w:tabs>
        <w:ind w:left="360"/>
        <w:rPr>
          <w:rFonts w:asciiTheme="minorHAnsi" w:hAnsiTheme="minorHAnsi" w:cs="Arial"/>
          <w:i/>
        </w:rPr>
      </w:pPr>
      <w:r w:rsidRPr="004066B8">
        <w:rPr>
          <w:rFonts w:asciiTheme="minorHAnsi" w:hAnsiTheme="minorHAnsi" w:cs="Arial"/>
          <w:b/>
        </w:rPr>
        <w:t>Notice of work schedule change – Scope.</w:t>
      </w:r>
      <w:r w:rsidRPr="004066B8">
        <w:rPr>
          <w:rFonts w:asciiTheme="minorHAnsi" w:hAnsiTheme="minorHAnsi" w:cs="Arial"/>
          <w:i/>
        </w:rPr>
        <w:t xml:space="preserve"> </w:t>
      </w:r>
      <w:r w:rsidRPr="004066B8">
        <w:rPr>
          <w:rFonts w:asciiTheme="minorHAnsi" w:hAnsiTheme="minorHAnsi"/>
        </w:rPr>
        <w:t xml:space="preserve">This section refers to any employee-requested schedule changes made after the employer’s advance notice of work schedule required by </w:t>
      </w:r>
      <w:hyperlink r:id="rId9" w:history="1">
        <w:r w:rsidRPr="00BD4155">
          <w:rPr>
            <w:rStyle w:val="Hyperlink"/>
            <w:rFonts w:asciiTheme="minorHAnsi" w:hAnsiTheme="minorHAnsi"/>
          </w:rPr>
          <w:t>SMC 14.22.040</w:t>
        </w:r>
      </w:hyperlink>
      <w:r w:rsidRPr="004066B8">
        <w:rPr>
          <w:rFonts w:asciiTheme="minorHAnsi" w:hAnsiTheme="minorHAnsi"/>
        </w:rPr>
        <w:t xml:space="preserve">. </w:t>
      </w:r>
      <w:r w:rsidRPr="004066B8">
        <w:rPr>
          <w:rFonts w:asciiTheme="minorHAnsi" w:hAnsiTheme="minorHAnsi"/>
          <w:i/>
        </w:rPr>
        <w:t>Added a rule re: “scope” to clarify when these requirements apply.</w:t>
      </w:r>
    </w:p>
    <w:p w:rsidR="00FD41DB" w:rsidRPr="00FD41DB" w:rsidRDefault="00FD41DB" w:rsidP="004066B8">
      <w:pPr>
        <w:rPr>
          <w:rFonts w:asciiTheme="minorHAnsi" w:hAnsiTheme="minorHAnsi"/>
          <w:sz w:val="16"/>
        </w:rPr>
      </w:pPr>
    </w:p>
    <w:p w:rsidR="00FD41DB" w:rsidRPr="004066B8" w:rsidRDefault="00FD41DB" w:rsidP="004066B8">
      <w:pPr>
        <w:pStyle w:val="ListParagraph"/>
        <w:numPr>
          <w:ilvl w:val="0"/>
          <w:numId w:val="25"/>
        </w:numPr>
        <w:tabs>
          <w:tab w:val="clear" w:pos="720"/>
          <w:tab w:val="num" w:pos="360"/>
        </w:tabs>
        <w:ind w:left="360"/>
        <w:rPr>
          <w:rFonts w:asciiTheme="minorHAnsi" w:hAnsiTheme="minorHAnsi" w:cs="Arial"/>
          <w:i/>
        </w:rPr>
      </w:pPr>
      <w:r w:rsidRPr="004066B8">
        <w:rPr>
          <w:rFonts w:asciiTheme="minorHAnsi" w:hAnsiTheme="minorHAnsi" w:cs="Arial"/>
          <w:b/>
        </w:rPr>
        <w:t>Overtime</w:t>
      </w:r>
      <w:r w:rsidRPr="004066B8">
        <w:rPr>
          <w:rFonts w:asciiTheme="minorHAnsi" w:hAnsiTheme="minorHAnsi" w:cs="Arial"/>
        </w:rPr>
        <w:t xml:space="preserve">. Inclusion of premium pay in calculation of regular rate.  </w:t>
      </w:r>
      <w:r w:rsidRPr="004066B8">
        <w:rPr>
          <w:rFonts w:asciiTheme="minorHAnsi" w:hAnsiTheme="minorHAnsi" w:cs="Arial"/>
          <w:i/>
        </w:rPr>
        <w:t>Removed this rule.</w:t>
      </w:r>
    </w:p>
    <w:p w:rsidR="00FD41DB" w:rsidRPr="00FD41DB" w:rsidRDefault="00FD41DB" w:rsidP="00FD41DB">
      <w:pPr>
        <w:ind w:left="360"/>
        <w:rPr>
          <w:rFonts w:asciiTheme="minorHAnsi" w:hAnsiTheme="minorHAnsi"/>
          <w:sz w:val="16"/>
        </w:rPr>
      </w:pPr>
    </w:p>
    <w:p w:rsidR="00FD41DB" w:rsidRPr="00FD41DB" w:rsidRDefault="00FD41DB" w:rsidP="004066B8">
      <w:pPr>
        <w:numPr>
          <w:ilvl w:val="0"/>
          <w:numId w:val="27"/>
        </w:numPr>
        <w:ind w:left="360"/>
        <w:rPr>
          <w:rFonts w:asciiTheme="minorHAnsi" w:hAnsiTheme="minorHAnsi" w:cs="Arial"/>
          <w:b/>
          <w:i/>
        </w:rPr>
      </w:pPr>
      <w:r w:rsidRPr="00FD41DB">
        <w:rPr>
          <w:rFonts w:asciiTheme="minorHAnsi" w:hAnsiTheme="minorHAnsi" w:cs="Arial"/>
          <w:b/>
        </w:rPr>
        <w:t xml:space="preserve">Employee-requested work schedule changes – Definition. </w:t>
      </w:r>
      <w:r w:rsidRPr="00FD41DB">
        <w:rPr>
          <w:rFonts w:asciiTheme="minorHAnsi" w:hAnsiTheme="minorHAnsi"/>
        </w:rPr>
        <w:t xml:space="preserve">“Employee-requested changes” are changes to the work schedule that are initiated by the employee after the employer’s advance notice of work schedule required by </w:t>
      </w:r>
      <w:hyperlink r:id="rId10" w:history="1">
        <w:r w:rsidRPr="00BD4155">
          <w:rPr>
            <w:rStyle w:val="Hyperlink"/>
            <w:rFonts w:asciiTheme="minorHAnsi" w:hAnsiTheme="minorHAnsi"/>
          </w:rPr>
          <w:t>SMC 14.22.040</w:t>
        </w:r>
      </w:hyperlink>
      <w:r w:rsidRPr="00FD41DB">
        <w:rPr>
          <w:rFonts w:asciiTheme="minorHAnsi" w:hAnsiTheme="minorHAnsi"/>
        </w:rPr>
        <w:t xml:space="preserve">. Employee-requested changes take a wide variety of forms, including but not limited to, requests due to emergencies (e.g. flat tire) or major life events (e.g. childcare is unavailable); tardy arrivals; food service employee requests to stay past the scheduled work shift to close out a customer’s bill and collect the tip; and requests to stay past the scheduled work shift or leave early. </w:t>
      </w:r>
      <w:r w:rsidRPr="00FD41DB">
        <w:rPr>
          <w:rFonts w:asciiTheme="minorHAnsi" w:hAnsiTheme="minorHAnsi"/>
          <w:i/>
        </w:rPr>
        <w:t>Added a definitional rule to clarify what types of requests would constitute employee-requested changes, which do not incur premium pay.</w:t>
      </w:r>
    </w:p>
    <w:p w:rsidR="00FD41DB" w:rsidRPr="00FD41DB" w:rsidRDefault="00FD41DB" w:rsidP="004066B8">
      <w:pPr>
        <w:ind w:left="360"/>
        <w:rPr>
          <w:rFonts w:asciiTheme="minorHAnsi" w:hAnsiTheme="minorHAnsi"/>
          <w:sz w:val="16"/>
        </w:rPr>
      </w:pPr>
    </w:p>
    <w:p w:rsidR="00FD41DB" w:rsidRPr="00FD41DB" w:rsidRDefault="00FD41DB" w:rsidP="004066B8">
      <w:pPr>
        <w:numPr>
          <w:ilvl w:val="0"/>
          <w:numId w:val="27"/>
        </w:numPr>
        <w:ind w:left="360"/>
        <w:rPr>
          <w:rFonts w:asciiTheme="minorHAnsi" w:hAnsiTheme="minorHAnsi" w:cs="Arial"/>
          <w:i/>
        </w:rPr>
      </w:pPr>
      <w:r w:rsidRPr="00FD41DB">
        <w:rPr>
          <w:rFonts w:asciiTheme="minorHAnsi" w:hAnsiTheme="minorHAnsi" w:cs="Arial"/>
          <w:b/>
        </w:rPr>
        <w:t>Employee-requested work schedule changes – Granting or denying</w:t>
      </w:r>
      <w:r w:rsidR="00BD4155">
        <w:rPr>
          <w:rFonts w:asciiTheme="minorHAnsi" w:hAnsiTheme="minorHAnsi" w:cs="Arial"/>
          <w:b/>
        </w:rPr>
        <w:t>.</w:t>
      </w:r>
      <w:r w:rsidRPr="00FD41DB">
        <w:rPr>
          <w:rFonts w:asciiTheme="minorHAnsi" w:hAnsiTheme="minorHAnsi" w:cs="Arial"/>
        </w:rPr>
        <w:t xml:space="preserve"> Employer may grant or deny an employe</w:t>
      </w:r>
      <w:r w:rsidR="00673888">
        <w:rPr>
          <w:rFonts w:asciiTheme="minorHAnsi" w:hAnsiTheme="minorHAnsi" w:cs="Arial"/>
        </w:rPr>
        <w:t>e-requested work schedule</w:t>
      </w:r>
      <w:r w:rsidRPr="00FD41DB">
        <w:rPr>
          <w:rFonts w:asciiTheme="minorHAnsi" w:hAnsiTheme="minorHAnsi" w:cs="Arial"/>
        </w:rPr>
        <w:t xml:space="preserve"> change unless it is covered by another local, state, or federal law that requires granting such request. </w:t>
      </w:r>
      <w:r w:rsidRPr="00FD41DB">
        <w:rPr>
          <w:rFonts w:asciiTheme="minorHAnsi" w:hAnsiTheme="minorHAnsi" w:cs="Arial"/>
          <w:i/>
        </w:rPr>
        <w:t xml:space="preserve">Added rule to clarify what employer actions are permitted by the ordinance. </w:t>
      </w:r>
    </w:p>
    <w:p w:rsidR="00FD41DB" w:rsidRPr="00FD41DB" w:rsidRDefault="00FD41DB" w:rsidP="004066B8">
      <w:pPr>
        <w:ind w:left="360"/>
        <w:rPr>
          <w:rFonts w:asciiTheme="minorHAnsi" w:hAnsiTheme="minorHAnsi"/>
          <w:sz w:val="16"/>
        </w:rPr>
      </w:pPr>
    </w:p>
    <w:p w:rsidR="00FD41DB" w:rsidRPr="00FD41DB" w:rsidRDefault="00FD41DB" w:rsidP="004066B8">
      <w:pPr>
        <w:numPr>
          <w:ilvl w:val="0"/>
          <w:numId w:val="27"/>
        </w:numPr>
        <w:ind w:left="360"/>
        <w:rPr>
          <w:rFonts w:asciiTheme="minorHAnsi" w:hAnsiTheme="minorHAnsi" w:cs="Arial"/>
        </w:rPr>
      </w:pPr>
      <w:r w:rsidRPr="00FD41DB">
        <w:rPr>
          <w:rFonts w:asciiTheme="minorHAnsi" w:hAnsiTheme="minorHAnsi" w:cs="Arial"/>
          <w:b/>
        </w:rPr>
        <w:t>Compens</w:t>
      </w:r>
      <w:r w:rsidR="00BD4155">
        <w:rPr>
          <w:rFonts w:asciiTheme="minorHAnsi" w:hAnsiTheme="minorHAnsi" w:cs="Arial"/>
          <w:b/>
        </w:rPr>
        <w:t xml:space="preserve">ation for work schedule changes – </w:t>
      </w:r>
      <w:r w:rsidRPr="00FD41DB">
        <w:rPr>
          <w:rFonts w:asciiTheme="minorHAnsi" w:hAnsiTheme="minorHAnsi" w:cs="Arial"/>
          <w:b/>
        </w:rPr>
        <w:t>Exceptions:</w:t>
      </w:r>
      <w:r w:rsidRPr="00FD41DB">
        <w:rPr>
          <w:rFonts w:asciiTheme="minorHAnsi" w:hAnsiTheme="minorHAnsi" w:cs="Arial"/>
        </w:rPr>
        <w:t xml:space="preserve"> </w:t>
      </w:r>
    </w:p>
    <w:p w:rsidR="00FD41DB" w:rsidRPr="004066B8" w:rsidRDefault="00FD41DB" w:rsidP="004066B8">
      <w:pPr>
        <w:pStyle w:val="ListParagraph"/>
        <w:numPr>
          <w:ilvl w:val="0"/>
          <w:numId w:val="28"/>
        </w:numPr>
        <w:rPr>
          <w:rFonts w:asciiTheme="minorHAnsi" w:hAnsiTheme="minorHAnsi"/>
          <w:b/>
          <w:i/>
        </w:rPr>
      </w:pPr>
      <w:r w:rsidRPr="004066B8">
        <w:rPr>
          <w:rFonts w:asciiTheme="minorHAnsi" w:hAnsiTheme="minorHAnsi"/>
          <w:b/>
        </w:rPr>
        <w:t xml:space="preserve">“Other causes” outside the employer’s control that prevent operations from beginning or continuing. </w:t>
      </w:r>
      <w:r w:rsidRPr="004066B8">
        <w:rPr>
          <w:rFonts w:asciiTheme="minorHAnsi" w:hAnsiTheme="minorHAnsi"/>
        </w:rPr>
        <w:t xml:space="preserve">Examples not listed in the ordinance include weather </w:t>
      </w:r>
      <w:r w:rsidRPr="004066B8">
        <w:rPr>
          <w:rFonts w:asciiTheme="minorHAnsi" w:hAnsiTheme="minorHAnsi"/>
        </w:rPr>
        <w:lastRenderedPageBreak/>
        <w:t xml:space="preserve">events and events </w:t>
      </w:r>
      <w:r w:rsidRPr="004066B8">
        <w:rPr>
          <w:rFonts w:asciiTheme="minorHAnsi" w:hAnsiTheme="minorHAnsi" w:cs="Open Sans"/>
          <w:lang w:val="en"/>
        </w:rPr>
        <w:t xml:space="preserve">that would cause the employer to violate a law, statute, ordinance, code, administrative rule, and/or governmental executive order. </w:t>
      </w:r>
      <w:r w:rsidRPr="004066B8">
        <w:rPr>
          <w:rFonts w:asciiTheme="minorHAnsi" w:hAnsiTheme="minorHAnsi" w:cs="Open Sans"/>
          <w:i/>
          <w:lang w:val="en"/>
        </w:rPr>
        <w:t>Added “weather events.”</w:t>
      </w:r>
    </w:p>
    <w:p w:rsidR="00FD41DB" w:rsidRPr="00FD41DB" w:rsidRDefault="00FD41DB" w:rsidP="00FD41DB">
      <w:pPr>
        <w:ind w:left="360"/>
        <w:rPr>
          <w:rFonts w:asciiTheme="minorHAnsi" w:hAnsiTheme="minorHAnsi"/>
          <w:sz w:val="16"/>
        </w:rPr>
      </w:pPr>
    </w:p>
    <w:p w:rsidR="00FD41DB" w:rsidRPr="00FD41DB" w:rsidRDefault="00FD41DB" w:rsidP="004066B8">
      <w:pPr>
        <w:pStyle w:val="ListParagraph"/>
        <w:numPr>
          <w:ilvl w:val="0"/>
          <w:numId w:val="29"/>
        </w:numPr>
        <w:ind w:left="360"/>
        <w:rPr>
          <w:rFonts w:asciiTheme="minorHAnsi" w:hAnsiTheme="minorHAnsi"/>
          <w:b/>
          <w:i/>
        </w:rPr>
      </w:pPr>
      <w:r w:rsidRPr="00FD41DB">
        <w:rPr>
          <w:rFonts w:asciiTheme="minorHAnsi" w:hAnsiTheme="minorHAnsi"/>
          <w:b/>
        </w:rPr>
        <w:t xml:space="preserve">Individual notice of rights (i.e. workplace poster). </w:t>
      </w:r>
      <w:r w:rsidRPr="00FD41DB">
        <w:rPr>
          <w:rFonts w:asciiTheme="minorHAnsi" w:hAnsiTheme="minorHAnsi"/>
        </w:rPr>
        <w:t xml:space="preserve">Employer is encouraged to </w:t>
      </w:r>
      <w:r w:rsidRPr="00FD41DB">
        <w:rPr>
          <w:rFonts w:asciiTheme="minorHAnsi" w:hAnsiTheme="minorHAnsi" w:cs="Arial"/>
        </w:rPr>
        <w:t>provide each employee with a copy of the OLS workplace poster giving notice of the rights to secure scheduling under this ordinance (</w:t>
      </w:r>
      <w:hyperlink r:id="rId11" w:history="1">
        <w:r w:rsidRPr="00BD4B01">
          <w:rPr>
            <w:rStyle w:val="Hyperlink"/>
            <w:rFonts w:asciiTheme="minorHAnsi" w:hAnsiTheme="minorHAnsi" w:cs="Arial"/>
          </w:rPr>
          <w:t>SMC 14.22</w:t>
        </w:r>
      </w:hyperlink>
      <w:r w:rsidRPr="00FD41DB">
        <w:rPr>
          <w:rFonts w:asciiTheme="minorHAnsi" w:hAnsiTheme="minorHAnsi" w:cs="Arial"/>
        </w:rPr>
        <w:t xml:space="preserve">). </w:t>
      </w:r>
      <w:r w:rsidRPr="00FD41DB">
        <w:rPr>
          <w:rFonts w:asciiTheme="minorHAnsi" w:hAnsiTheme="minorHAnsi" w:cs="Arial"/>
          <w:i/>
        </w:rPr>
        <w:t>Removed mandatory requirement to provide individual notice; employers still must display the poster in a conspicuous and accessible place at the workplace.</w:t>
      </w:r>
    </w:p>
    <w:p w:rsidR="00FD41DB" w:rsidRPr="00FD41DB" w:rsidRDefault="00FD41DB" w:rsidP="004066B8">
      <w:pPr>
        <w:ind w:left="360"/>
        <w:rPr>
          <w:rFonts w:asciiTheme="minorHAnsi" w:hAnsiTheme="minorHAnsi"/>
          <w:sz w:val="16"/>
        </w:rPr>
      </w:pPr>
    </w:p>
    <w:p w:rsidR="00FD41DB" w:rsidRPr="00FD41DB" w:rsidRDefault="00FD41DB" w:rsidP="004066B8">
      <w:pPr>
        <w:pStyle w:val="ListParagraph"/>
        <w:numPr>
          <w:ilvl w:val="0"/>
          <w:numId w:val="29"/>
        </w:numPr>
        <w:ind w:left="360"/>
        <w:rPr>
          <w:rFonts w:asciiTheme="minorHAnsi" w:hAnsiTheme="minorHAnsi"/>
          <w:b/>
        </w:rPr>
      </w:pPr>
      <w:r w:rsidRPr="00FD41DB">
        <w:rPr>
          <w:rFonts w:asciiTheme="minorHAnsi" w:hAnsiTheme="minorHAnsi"/>
          <w:b/>
        </w:rPr>
        <w:t>Translations.</w:t>
      </w:r>
      <w:r w:rsidRPr="00FD41DB">
        <w:rPr>
          <w:rFonts w:asciiTheme="minorHAnsi" w:hAnsiTheme="minorHAnsi"/>
          <w:iCs/>
          <w:spacing w:val="-1"/>
        </w:rPr>
        <w:t xml:space="preserve"> OLS shall create and distribute translated versions of such notices to facilitate employer compliance with translation requirements. Employers are not required to provide notices in languages other than English until OLS has created and posted the necessary translation on the OLS website. Employers are encouraged to notify OLS of the need for additional translations. </w:t>
      </w:r>
      <w:r w:rsidRPr="00FD41DB">
        <w:rPr>
          <w:rFonts w:asciiTheme="minorHAnsi" w:hAnsiTheme="minorHAnsi"/>
          <w:i/>
          <w:iCs/>
          <w:spacing w:val="-1"/>
        </w:rPr>
        <w:t>Added rule that employers are not required to provide translated notices until OLS has made the template.</w:t>
      </w:r>
    </w:p>
    <w:p w:rsidR="00FD41DB" w:rsidRPr="00FD41DB" w:rsidRDefault="00FD41DB" w:rsidP="004066B8">
      <w:pPr>
        <w:ind w:left="360"/>
        <w:rPr>
          <w:rFonts w:asciiTheme="minorHAnsi" w:hAnsiTheme="minorHAnsi"/>
          <w:sz w:val="16"/>
        </w:rPr>
      </w:pPr>
    </w:p>
    <w:p w:rsidR="00FD41DB" w:rsidRPr="00FD41DB" w:rsidRDefault="00FD41DB" w:rsidP="004066B8">
      <w:pPr>
        <w:pStyle w:val="ListParagraph"/>
        <w:numPr>
          <w:ilvl w:val="0"/>
          <w:numId w:val="29"/>
        </w:numPr>
        <w:ind w:left="360"/>
        <w:rPr>
          <w:rFonts w:asciiTheme="minorHAnsi" w:hAnsiTheme="minorHAnsi"/>
          <w:b/>
        </w:rPr>
      </w:pPr>
      <w:r w:rsidRPr="00FD41DB">
        <w:rPr>
          <w:rFonts w:asciiTheme="minorHAnsi" w:hAnsiTheme="minorHAnsi"/>
          <w:b/>
        </w:rPr>
        <w:t>Retaliation and discipline.</w:t>
      </w:r>
      <w:r w:rsidRPr="00FD41DB">
        <w:rPr>
          <w:rFonts w:asciiTheme="minorHAnsi" w:hAnsiTheme="minorHAnsi"/>
          <w:b/>
          <w:i/>
        </w:rPr>
        <w:t xml:space="preserve"> </w:t>
      </w:r>
      <w:r w:rsidRPr="00FD41DB">
        <w:rPr>
          <w:rFonts w:asciiTheme="minorHAnsi" w:hAnsiTheme="minorHAnsi"/>
        </w:rPr>
        <w:t xml:space="preserve">Employers may discipline </w:t>
      </w:r>
      <w:r w:rsidR="00673888">
        <w:rPr>
          <w:rFonts w:asciiTheme="minorHAnsi" w:hAnsiTheme="minorHAnsi"/>
        </w:rPr>
        <w:t>an</w:t>
      </w:r>
      <w:r w:rsidRPr="00FD41DB">
        <w:rPr>
          <w:rFonts w:asciiTheme="minorHAnsi" w:hAnsiTheme="minorHAnsi"/>
        </w:rPr>
        <w:t xml:space="preserve"> employee for</w:t>
      </w:r>
      <w:r>
        <w:rPr>
          <w:rFonts w:asciiTheme="minorHAnsi" w:hAnsiTheme="minorHAnsi"/>
        </w:rPr>
        <w:t>:</w:t>
      </w:r>
    </w:p>
    <w:p w:rsidR="00FD41DB" w:rsidRPr="00FD41DB" w:rsidRDefault="00FD41DB" w:rsidP="004066B8">
      <w:pPr>
        <w:pStyle w:val="ListParagraph"/>
        <w:numPr>
          <w:ilvl w:val="1"/>
          <w:numId w:val="28"/>
        </w:numPr>
        <w:ind w:left="720"/>
        <w:rPr>
          <w:rFonts w:asciiTheme="minorHAnsi" w:hAnsiTheme="minorHAnsi"/>
          <w:b/>
        </w:rPr>
      </w:pPr>
      <w:r w:rsidRPr="00FD41DB">
        <w:rPr>
          <w:rFonts w:asciiTheme="minorHAnsi" w:hAnsiTheme="minorHAnsi"/>
        </w:rPr>
        <w:t xml:space="preserve">Abuse of the employer’s reasonable, notification and job requirements for employee-requested work schedule changes and/or preferences prior to the advance notice of work schedule required by </w:t>
      </w:r>
      <w:hyperlink r:id="rId12" w:history="1">
        <w:r w:rsidRPr="00FD41DB">
          <w:rPr>
            <w:rStyle w:val="Hyperlink"/>
            <w:rFonts w:asciiTheme="minorHAnsi" w:eastAsiaTheme="majorEastAsia" w:hAnsiTheme="minorHAnsi"/>
          </w:rPr>
          <w:t>SMC 14.22.040</w:t>
        </w:r>
      </w:hyperlink>
      <w:r w:rsidRPr="00FD41DB">
        <w:rPr>
          <w:rFonts w:asciiTheme="minorHAnsi" w:hAnsiTheme="minorHAnsi"/>
        </w:rPr>
        <w:t>; and</w:t>
      </w:r>
    </w:p>
    <w:p w:rsidR="00FD41DB" w:rsidRPr="00FD41DB" w:rsidRDefault="00FD41DB" w:rsidP="004066B8">
      <w:pPr>
        <w:pStyle w:val="ListParagraph"/>
        <w:numPr>
          <w:ilvl w:val="1"/>
          <w:numId w:val="28"/>
        </w:numPr>
        <w:ind w:left="720"/>
        <w:rPr>
          <w:rFonts w:asciiTheme="minorHAnsi" w:hAnsiTheme="minorHAnsi"/>
        </w:rPr>
      </w:pPr>
      <w:r w:rsidRPr="00FD41DB">
        <w:rPr>
          <w:rFonts w:asciiTheme="minorHAnsi" w:hAnsiTheme="minorHAnsi"/>
        </w:rPr>
        <w:t xml:space="preserve">Failure to comply with, or abuse of, the employer’s reasonable, notification and job requirements for employee-requested work schedule changes, including changes due to an emergency or major life event not covered by another local, state or federal law, after the advance notice of work schedule required by </w:t>
      </w:r>
      <w:hyperlink r:id="rId13" w:history="1">
        <w:r w:rsidRPr="00FD41DB">
          <w:rPr>
            <w:rStyle w:val="Hyperlink"/>
            <w:rFonts w:asciiTheme="minorHAnsi" w:eastAsiaTheme="majorEastAsia" w:hAnsiTheme="minorHAnsi"/>
          </w:rPr>
          <w:t>SMC 14.22.040</w:t>
        </w:r>
      </w:hyperlink>
      <w:r w:rsidRPr="00FD41DB">
        <w:rPr>
          <w:rFonts w:asciiTheme="minorHAnsi" w:hAnsiTheme="minorHAnsi"/>
        </w:rPr>
        <w:t xml:space="preserve">. </w:t>
      </w:r>
      <w:r w:rsidRPr="00FD41DB">
        <w:rPr>
          <w:rFonts w:asciiTheme="minorHAnsi" w:hAnsiTheme="minorHAnsi" w:cs="Arial"/>
          <w:i/>
        </w:rPr>
        <w:t>Added rule to clarify what employer actions are permitted by the ordinance.</w:t>
      </w:r>
    </w:p>
    <w:p w:rsidR="00FD41DB" w:rsidRPr="00FD41DB" w:rsidRDefault="00FD41DB" w:rsidP="00FD41DB">
      <w:pPr>
        <w:pStyle w:val="ListParagraph"/>
        <w:ind w:left="1440"/>
        <w:rPr>
          <w:rFonts w:asciiTheme="minorHAnsi" w:hAnsiTheme="minorHAnsi"/>
        </w:rPr>
      </w:pPr>
    </w:p>
    <w:p w:rsidR="00FD41DB" w:rsidRPr="00FD41DB" w:rsidRDefault="00FD41DB" w:rsidP="00FD41DB">
      <w:pPr>
        <w:rPr>
          <w:rFonts w:asciiTheme="minorHAnsi" w:hAnsiTheme="minorHAnsi"/>
        </w:rPr>
      </w:pPr>
      <w:r w:rsidRPr="00FD41DB">
        <w:rPr>
          <w:rFonts w:asciiTheme="minorHAnsi" w:hAnsiTheme="minorHAnsi"/>
          <w:b/>
        </w:rPr>
        <w:t xml:space="preserve">Other highlights from draft rules, either remaining the same or with minor clarification (e.g. formatting and editing). </w:t>
      </w:r>
      <w:r w:rsidRPr="00FD41DB">
        <w:rPr>
          <w:rFonts w:asciiTheme="minorHAnsi" w:hAnsiTheme="minorHAnsi"/>
        </w:rPr>
        <w:t xml:space="preserve">Changes from draft rules are </w:t>
      </w:r>
      <w:r w:rsidRPr="00FD41DB">
        <w:rPr>
          <w:rFonts w:asciiTheme="minorHAnsi" w:hAnsiTheme="minorHAnsi"/>
          <w:i/>
        </w:rPr>
        <w:t>italicized</w:t>
      </w:r>
      <w:r w:rsidRPr="00FD41DB">
        <w:rPr>
          <w:rFonts w:asciiTheme="minorHAnsi" w:hAnsiTheme="minorHAnsi"/>
        </w:rPr>
        <w:t>.</w:t>
      </w:r>
    </w:p>
    <w:p w:rsidR="00FD41DB" w:rsidRPr="00FD41DB" w:rsidRDefault="00FD41DB" w:rsidP="00FD41DB">
      <w:pPr>
        <w:rPr>
          <w:rFonts w:asciiTheme="minorHAnsi" w:hAnsiTheme="minorHAnsi"/>
          <w:sz w:val="16"/>
        </w:rPr>
      </w:pPr>
    </w:p>
    <w:p w:rsidR="00FD41DB" w:rsidRPr="00FD41DB" w:rsidRDefault="00FD41DB" w:rsidP="004066B8">
      <w:pPr>
        <w:numPr>
          <w:ilvl w:val="0"/>
          <w:numId w:val="30"/>
        </w:numPr>
        <w:ind w:left="360"/>
        <w:rPr>
          <w:rFonts w:asciiTheme="minorHAnsi" w:hAnsiTheme="minorHAnsi" w:cs="Arial"/>
        </w:rPr>
      </w:pPr>
      <w:r w:rsidRPr="00FD41DB">
        <w:rPr>
          <w:rFonts w:asciiTheme="minorHAnsi" w:hAnsiTheme="minorHAnsi" w:cs="Arial"/>
          <w:b/>
        </w:rPr>
        <w:t>Good Faith Estimate:</w:t>
      </w:r>
      <w:r w:rsidRPr="00FD41DB">
        <w:rPr>
          <w:rFonts w:asciiTheme="minorHAnsi" w:hAnsiTheme="minorHAnsi" w:cs="Arial"/>
        </w:rPr>
        <w:t xml:space="preserve"> Clarifies that a “significant change” to the work schedule occurs when “there is a difference of at least 30% between the good faith estimate and the median number of hours in the written work schedules.”</w:t>
      </w:r>
    </w:p>
    <w:p w:rsidR="00FD41DB" w:rsidRPr="00FD41DB" w:rsidRDefault="00FD41DB" w:rsidP="004066B8">
      <w:pPr>
        <w:ind w:left="360"/>
        <w:rPr>
          <w:rFonts w:asciiTheme="minorHAnsi" w:hAnsiTheme="minorHAnsi"/>
          <w:sz w:val="16"/>
        </w:rPr>
      </w:pPr>
    </w:p>
    <w:p w:rsidR="00FD41DB" w:rsidRPr="00FD41DB" w:rsidRDefault="00FD41DB" w:rsidP="004066B8">
      <w:pPr>
        <w:numPr>
          <w:ilvl w:val="0"/>
          <w:numId w:val="30"/>
        </w:numPr>
        <w:ind w:left="360"/>
        <w:rPr>
          <w:rFonts w:asciiTheme="minorHAnsi" w:hAnsiTheme="minorHAnsi" w:cs="Arial"/>
        </w:rPr>
      </w:pPr>
      <w:r w:rsidRPr="00FD41DB">
        <w:rPr>
          <w:rFonts w:asciiTheme="minorHAnsi" w:hAnsiTheme="minorHAnsi" w:cs="Arial"/>
          <w:b/>
        </w:rPr>
        <w:t>Interactive Process:</w:t>
      </w:r>
      <w:r w:rsidRPr="00FD41DB">
        <w:rPr>
          <w:rFonts w:asciiTheme="minorHAnsi" w:hAnsiTheme="minorHAnsi" w:cs="Arial"/>
        </w:rPr>
        <w:t xml:space="preserve"> Clarifies the timeline and documentation requirements, and suggests content for the interactive process following (1) a significant change to the good faith estimate; or (2) a request for input into the work schedule.</w:t>
      </w:r>
    </w:p>
    <w:p w:rsidR="00FD41DB" w:rsidRPr="00FD41DB" w:rsidRDefault="00FD41DB" w:rsidP="004066B8">
      <w:pPr>
        <w:ind w:left="360"/>
        <w:rPr>
          <w:rFonts w:asciiTheme="minorHAnsi" w:hAnsiTheme="minorHAnsi"/>
          <w:sz w:val="16"/>
        </w:rPr>
      </w:pPr>
    </w:p>
    <w:p w:rsidR="00FD41DB" w:rsidRPr="00FD41DB" w:rsidRDefault="00FD41DB" w:rsidP="004066B8">
      <w:pPr>
        <w:numPr>
          <w:ilvl w:val="0"/>
          <w:numId w:val="30"/>
        </w:numPr>
        <w:ind w:left="360"/>
        <w:rPr>
          <w:rFonts w:asciiTheme="minorHAnsi" w:hAnsiTheme="minorHAnsi" w:cs="Arial"/>
        </w:rPr>
      </w:pPr>
      <w:r w:rsidRPr="00FD41DB">
        <w:rPr>
          <w:rFonts w:asciiTheme="minorHAnsi" w:hAnsiTheme="minorHAnsi" w:cs="Arial"/>
          <w:b/>
        </w:rPr>
        <w:t>Compens</w:t>
      </w:r>
      <w:r w:rsidR="00BD4B01">
        <w:rPr>
          <w:rFonts w:asciiTheme="minorHAnsi" w:hAnsiTheme="minorHAnsi" w:cs="Arial"/>
          <w:b/>
        </w:rPr>
        <w:t xml:space="preserve">ation for work schedule changes – </w:t>
      </w:r>
      <w:r w:rsidRPr="00FD41DB">
        <w:rPr>
          <w:rFonts w:asciiTheme="minorHAnsi" w:hAnsiTheme="minorHAnsi" w:cs="Arial"/>
          <w:b/>
        </w:rPr>
        <w:t>Grace period:</w:t>
      </w:r>
      <w:r w:rsidRPr="00FD41DB">
        <w:rPr>
          <w:rFonts w:asciiTheme="minorHAnsi" w:hAnsiTheme="minorHAnsi" w:cs="Arial"/>
        </w:rPr>
        <w:t xml:space="preserve"> Clarifies that employers have a 15-minute grace period before additional compensation (i.e. premium pay) is due for employer-requested work schedule changes. Under this rule, an employer-requested work schedule change that adds or subtracts 15 minutes or less would not </w:t>
      </w:r>
      <w:r w:rsidRPr="00FD41DB">
        <w:rPr>
          <w:rFonts w:asciiTheme="minorHAnsi" w:hAnsiTheme="minorHAnsi" w:cs="Arial"/>
        </w:rPr>
        <w:lastRenderedPageBreak/>
        <w:t>result in a requirement for the employer to pay additional compensation (i.e. premium pay).</w:t>
      </w:r>
    </w:p>
    <w:p w:rsidR="00FD41DB" w:rsidRPr="00FD41DB" w:rsidRDefault="00FD41DB" w:rsidP="00FD41DB">
      <w:pPr>
        <w:ind w:left="360"/>
        <w:rPr>
          <w:rFonts w:asciiTheme="minorHAnsi" w:hAnsiTheme="minorHAnsi"/>
          <w:sz w:val="16"/>
        </w:rPr>
      </w:pPr>
    </w:p>
    <w:p w:rsidR="00FD41DB" w:rsidRPr="004066B8" w:rsidRDefault="00FD41DB" w:rsidP="004066B8">
      <w:pPr>
        <w:pStyle w:val="ListParagraph"/>
        <w:numPr>
          <w:ilvl w:val="0"/>
          <w:numId w:val="30"/>
        </w:numPr>
        <w:ind w:left="360"/>
        <w:rPr>
          <w:rFonts w:asciiTheme="minorHAnsi" w:hAnsiTheme="minorHAnsi" w:cs="Arial"/>
        </w:rPr>
      </w:pPr>
      <w:r w:rsidRPr="004066B8">
        <w:rPr>
          <w:rFonts w:asciiTheme="minorHAnsi" w:hAnsiTheme="minorHAnsi" w:cs="Arial"/>
          <w:b/>
        </w:rPr>
        <w:t>Payment for adding hours:</w:t>
      </w:r>
      <w:r w:rsidRPr="004066B8">
        <w:rPr>
          <w:rFonts w:asciiTheme="minorHAnsi" w:hAnsiTheme="minorHAnsi" w:cs="Arial"/>
        </w:rPr>
        <w:t xml:space="preserve"> Clarifies that, in general, employer-requested changes require payment for one hour of pay at the employee’s scheduled rate of pay in addition to wages earned, for adding hours of work. For each employer-requested change that is less than one hour, the employer may pro-rate the additional compensation due. </w:t>
      </w:r>
      <w:r w:rsidRPr="004066B8">
        <w:rPr>
          <w:rFonts w:asciiTheme="minorHAnsi" w:hAnsiTheme="minorHAnsi" w:cs="Arial"/>
          <w:i/>
        </w:rPr>
        <w:t>Added language to include the general requirement from the ordinance.</w:t>
      </w:r>
    </w:p>
    <w:p w:rsidR="00FD41DB" w:rsidRPr="00FD41DB" w:rsidRDefault="00FD41DB" w:rsidP="004066B8">
      <w:pPr>
        <w:ind w:left="360"/>
        <w:rPr>
          <w:rFonts w:asciiTheme="minorHAnsi" w:hAnsiTheme="minorHAnsi"/>
          <w:sz w:val="16"/>
        </w:rPr>
      </w:pPr>
    </w:p>
    <w:p w:rsidR="00FD41DB" w:rsidRPr="004066B8" w:rsidRDefault="00FD41DB" w:rsidP="004066B8">
      <w:pPr>
        <w:pStyle w:val="ListParagraph"/>
        <w:numPr>
          <w:ilvl w:val="0"/>
          <w:numId w:val="30"/>
        </w:numPr>
        <w:ind w:left="360"/>
        <w:rPr>
          <w:rFonts w:asciiTheme="minorHAnsi" w:hAnsiTheme="minorHAnsi" w:cs="Arial"/>
        </w:rPr>
      </w:pPr>
      <w:r w:rsidRPr="004066B8">
        <w:rPr>
          <w:rFonts w:asciiTheme="minorHAnsi" w:hAnsiTheme="minorHAnsi" w:cs="Arial"/>
          <w:b/>
        </w:rPr>
        <w:t>Employees who are jointly employed</w:t>
      </w:r>
      <w:r w:rsidRPr="004066B8">
        <w:rPr>
          <w:rFonts w:asciiTheme="minorHAnsi" w:hAnsiTheme="minorHAnsi" w:cs="Arial"/>
        </w:rPr>
        <w:t xml:space="preserve">: </w:t>
      </w:r>
    </w:p>
    <w:p w:rsidR="00FD41DB" w:rsidRPr="00FD41DB" w:rsidRDefault="00FD41DB" w:rsidP="004066B8">
      <w:pPr>
        <w:numPr>
          <w:ilvl w:val="1"/>
          <w:numId w:val="32"/>
        </w:numPr>
        <w:ind w:left="720"/>
        <w:rPr>
          <w:rFonts w:asciiTheme="minorHAnsi" w:hAnsiTheme="minorHAnsi" w:cs="Arial"/>
        </w:rPr>
      </w:pPr>
      <w:r w:rsidRPr="00FD41DB">
        <w:rPr>
          <w:rFonts w:asciiTheme="minorHAnsi" w:hAnsiTheme="minorHAnsi" w:cs="Arial"/>
          <w:b/>
        </w:rPr>
        <w:t>Joint liability.</w:t>
      </w:r>
      <w:r w:rsidRPr="00FD41DB">
        <w:rPr>
          <w:rFonts w:asciiTheme="minorHAnsi" w:hAnsiTheme="minorHAnsi" w:cs="Arial"/>
        </w:rPr>
        <w:t xml:space="preserve"> Joint employers are individually and jointly responsible for the provision of a good faith estimate;</w:t>
      </w:r>
    </w:p>
    <w:p w:rsidR="00FD41DB" w:rsidRPr="00FD41DB" w:rsidRDefault="00FD41DB" w:rsidP="004066B8">
      <w:pPr>
        <w:numPr>
          <w:ilvl w:val="1"/>
          <w:numId w:val="32"/>
        </w:numPr>
        <w:ind w:left="720"/>
        <w:rPr>
          <w:rFonts w:asciiTheme="minorHAnsi" w:hAnsiTheme="minorHAnsi" w:cs="Arial"/>
        </w:rPr>
      </w:pPr>
      <w:r w:rsidRPr="00FD41DB">
        <w:rPr>
          <w:rFonts w:asciiTheme="minorHAnsi" w:hAnsiTheme="minorHAnsi" w:cs="Arial"/>
          <w:b/>
        </w:rPr>
        <w:t xml:space="preserve">Good faith estimate and </w:t>
      </w:r>
      <w:proofErr w:type="gramStart"/>
      <w:r w:rsidRPr="00FD41DB">
        <w:rPr>
          <w:rFonts w:asciiTheme="minorHAnsi" w:hAnsiTheme="minorHAnsi" w:cs="Arial"/>
          <w:b/>
        </w:rPr>
        <w:t>advance notice</w:t>
      </w:r>
      <w:proofErr w:type="gramEnd"/>
      <w:r w:rsidRPr="00FD41DB">
        <w:rPr>
          <w:rFonts w:asciiTheme="minorHAnsi" w:hAnsiTheme="minorHAnsi" w:cs="Arial"/>
          <w:b/>
        </w:rPr>
        <w:t xml:space="preserve"> of work schedule</w:t>
      </w:r>
      <w:r w:rsidRPr="00FD41DB">
        <w:rPr>
          <w:rFonts w:asciiTheme="minorHAnsi" w:hAnsiTheme="minorHAnsi" w:cs="Arial"/>
        </w:rPr>
        <w:t xml:space="preserve">. </w:t>
      </w:r>
      <w:r w:rsidRPr="00FD41DB">
        <w:rPr>
          <w:rFonts w:asciiTheme="minorHAnsi" w:hAnsiTheme="minorHAnsi"/>
        </w:rPr>
        <w:t xml:space="preserve">When providing a good faith estimate and </w:t>
      </w:r>
      <w:proofErr w:type="gramStart"/>
      <w:r w:rsidRPr="00FD41DB">
        <w:rPr>
          <w:rFonts w:asciiTheme="minorHAnsi" w:hAnsiTheme="minorHAnsi"/>
        </w:rPr>
        <w:t>advance notice</w:t>
      </w:r>
      <w:proofErr w:type="gramEnd"/>
      <w:r w:rsidRPr="00FD41DB">
        <w:rPr>
          <w:rFonts w:asciiTheme="minorHAnsi" w:hAnsiTheme="minorHAnsi"/>
        </w:rPr>
        <w:t xml:space="preserve"> of work schedule, employees who are jointly employed (with a temporary services provider, staffing agency, contractor, subcontractor, or other employer) are considered “new employees” upon starting each distinct assignment. Employers must provide a good faith estimate upon starting each distinct assignment and may immediately place such employees on the work schedule (i.e. without providing 14 days of </w:t>
      </w:r>
      <w:proofErr w:type="gramStart"/>
      <w:r w:rsidRPr="00FD41DB">
        <w:rPr>
          <w:rFonts w:asciiTheme="minorHAnsi" w:hAnsiTheme="minorHAnsi"/>
        </w:rPr>
        <w:t>advance notice</w:t>
      </w:r>
      <w:proofErr w:type="gramEnd"/>
      <w:r w:rsidRPr="00FD41DB">
        <w:rPr>
          <w:rFonts w:asciiTheme="minorHAnsi" w:hAnsiTheme="minorHAnsi"/>
        </w:rPr>
        <w:t>) upon starting a distinct assignment.</w:t>
      </w:r>
    </w:p>
    <w:p w:rsidR="00FD41DB" w:rsidRPr="00FD41DB" w:rsidRDefault="00FD41DB" w:rsidP="004066B8">
      <w:pPr>
        <w:numPr>
          <w:ilvl w:val="1"/>
          <w:numId w:val="32"/>
        </w:numPr>
        <w:ind w:left="720"/>
        <w:rPr>
          <w:rFonts w:asciiTheme="minorHAnsi" w:hAnsiTheme="minorHAnsi" w:cs="Arial"/>
        </w:rPr>
      </w:pPr>
      <w:r w:rsidRPr="00FD41DB">
        <w:rPr>
          <w:rFonts w:asciiTheme="minorHAnsi" w:hAnsiTheme="minorHAnsi" w:cs="Arial"/>
          <w:b/>
        </w:rPr>
        <w:t xml:space="preserve">Compensation for work schedule changes. </w:t>
      </w:r>
      <w:r w:rsidRPr="00FD41DB">
        <w:rPr>
          <w:rFonts w:asciiTheme="minorHAnsi" w:hAnsiTheme="minorHAnsi"/>
        </w:rPr>
        <w:t>For employees who are jointly employed with a temporary service provider, staffing agency, contractor, subcontractor or other employer, employers must provide additional compensation for each work schedule change after the employee has started a distinct assignment.</w:t>
      </w:r>
    </w:p>
    <w:p w:rsidR="00FD41DB" w:rsidRPr="00FD41DB" w:rsidRDefault="00FD41DB" w:rsidP="004066B8">
      <w:pPr>
        <w:numPr>
          <w:ilvl w:val="1"/>
          <w:numId w:val="32"/>
        </w:numPr>
        <w:ind w:left="720"/>
        <w:rPr>
          <w:rFonts w:asciiTheme="minorHAnsi" w:hAnsiTheme="minorHAnsi" w:cs="Arial"/>
        </w:rPr>
      </w:pPr>
      <w:r w:rsidRPr="00FD41DB">
        <w:rPr>
          <w:rFonts w:asciiTheme="minorHAnsi" w:hAnsiTheme="minorHAnsi" w:cs="Arial"/>
          <w:b/>
        </w:rPr>
        <w:t xml:space="preserve">Access to hours. </w:t>
      </w:r>
      <w:r w:rsidRPr="00FD41DB">
        <w:rPr>
          <w:rFonts w:asciiTheme="minorHAnsi" w:hAnsiTheme="minorHAnsi"/>
        </w:rPr>
        <w:t>Employers are not required to provide notice of additional hours of work to employees who are jointly employed, if such employees are not on the employer’s payroll.</w:t>
      </w:r>
    </w:p>
    <w:p w:rsidR="00FD41DB" w:rsidRPr="00FD41DB" w:rsidRDefault="00FD41DB" w:rsidP="004066B8">
      <w:pPr>
        <w:numPr>
          <w:ilvl w:val="1"/>
          <w:numId w:val="32"/>
        </w:numPr>
        <w:ind w:left="720"/>
        <w:rPr>
          <w:rFonts w:asciiTheme="minorHAnsi" w:hAnsiTheme="minorHAnsi" w:cs="Arial"/>
          <w:i/>
        </w:rPr>
      </w:pPr>
      <w:r w:rsidRPr="00FD41DB">
        <w:rPr>
          <w:rFonts w:asciiTheme="minorHAnsi" w:hAnsiTheme="minorHAnsi" w:cs="Arial"/>
          <w:b/>
        </w:rPr>
        <w:t xml:space="preserve">Access to hours – Exceptions for employees on a “access to </w:t>
      </w:r>
      <w:proofErr w:type="gramStart"/>
      <w:r w:rsidRPr="00FD41DB">
        <w:rPr>
          <w:rFonts w:asciiTheme="minorHAnsi" w:hAnsiTheme="minorHAnsi" w:cs="Arial"/>
          <w:b/>
        </w:rPr>
        <w:t>hours</w:t>
      </w:r>
      <w:proofErr w:type="gramEnd"/>
      <w:r w:rsidRPr="00FD41DB">
        <w:rPr>
          <w:rFonts w:asciiTheme="minorHAnsi" w:hAnsiTheme="minorHAnsi" w:cs="Arial"/>
          <w:b/>
        </w:rPr>
        <w:t xml:space="preserve"> list</w:t>
      </w:r>
      <w:r w:rsidRPr="00FD41DB">
        <w:rPr>
          <w:rFonts w:asciiTheme="minorHAnsi" w:hAnsiTheme="minorHAnsi" w:cs="Arial"/>
        </w:rPr>
        <w:t xml:space="preserve">.” Employers are not required to place employees who are jointly employed on the access to </w:t>
      </w:r>
      <w:proofErr w:type="gramStart"/>
      <w:r w:rsidRPr="00FD41DB">
        <w:rPr>
          <w:rFonts w:asciiTheme="minorHAnsi" w:hAnsiTheme="minorHAnsi" w:cs="Arial"/>
        </w:rPr>
        <w:t>hours</w:t>
      </w:r>
      <w:proofErr w:type="gramEnd"/>
      <w:r w:rsidRPr="00FD41DB">
        <w:rPr>
          <w:rFonts w:asciiTheme="minorHAnsi" w:hAnsiTheme="minorHAnsi" w:cs="Arial"/>
        </w:rPr>
        <w:t xml:space="preserve"> list, if such employees are not on the employer’s payroll. </w:t>
      </w:r>
      <w:r w:rsidRPr="00FD41DB">
        <w:rPr>
          <w:rFonts w:asciiTheme="minorHAnsi" w:hAnsiTheme="minorHAnsi" w:cs="Arial"/>
          <w:i/>
        </w:rPr>
        <w:t>Revised language and formatted these sections.</w:t>
      </w:r>
    </w:p>
    <w:p w:rsidR="00FD41DB" w:rsidRPr="004066B8" w:rsidRDefault="00FD41DB" w:rsidP="004066B8">
      <w:pPr>
        <w:pStyle w:val="ListParagraph"/>
        <w:numPr>
          <w:ilvl w:val="1"/>
          <w:numId w:val="32"/>
        </w:numPr>
        <w:ind w:left="720"/>
        <w:rPr>
          <w:rFonts w:asciiTheme="minorHAnsi" w:hAnsiTheme="minorHAnsi" w:cs="Arial"/>
          <w:i/>
        </w:rPr>
      </w:pPr>
      <w:r w:rsidRPr="004066B8">
        <w:rPr>
          <w:rFonts w:asciiTheme="minorHAnsi" w:hAnsiTheme="minorHAnsi" w:cs="Arial"/>
          <w:b/>
        </w:rPr>
        <w:t xml:space="preserve">Access to hours – </w:t>
      </w:r>
      <w:r w:rsidR="00BD4B01" w:rsidRPr="004066B8">
        <w:rPr>
          <w:rFonts w:asciiTheme="minorHAnsi" w:hAnsiTheme="minorHAnsi" w:cs="Arial"/>
          <w:b/>
        </w:rPr>
        <w:t xml:space="preserve">Exceptions </w:t>
      </w:r>
      <w:r w:rsidRPr="004066B8">
        <w:rPr>
          <w:rFonts w:asciiTheme="minorHAnsi" w:hAnsiTheme="minorHAnsi" w:cs="Arial"/>
          <w:b/>
        </w:rPr>
        <w:t xml:space="preserve">for designated hiring programs. </w:t>
      </w:r>
      <w:r w:rsidRPr="004066B8">
        <w:rPr>
          <w:rFonts w:asciiTheme="minorHAnsi" w:hAnsiTheme="minorHAnsi"/>
        </w:rPr>
        <w:t xml:space="preserve">For the purpose of using hiring programs as an exception to the access to </w:t>
      </w:r>
      <w:proofErr w:type="gramStart"/>
      <w:r w:rsidRPr="004066B8">
        <w:rPr>
          <w:rFonts w:asciiTheme="minorHAnsi" w:hAnsiTheme="minorHAnsi"/>
        </w:rPr>
        <w:t>hours</w:t>
      </w:r>
      <w:proofErr w:type="gramEnd"/>
      <w:r w:rsidRPr="004066B8">
        <w:rPr>
          <w:rFonts w:asciiTheme="minorHAnsi" w:hAnsiTheme="minorHAnsi"/>
        </w:rPr>
        <w:t xml:space="preserve"> requirements, employers shall limit the number of employees hired through the hiring program for the current calendar year to no more than 15% of covered employees at one or more fixed, point of sale location or locations. </w:t>
      </w:r>
      <w:r w:rsidRPr="004066B8">
        <w:rPr>
          <w:rFonts w:asciiTheme="minorHAnsi" w:hAnsiTheme="minorHAnsi"/>
          <w:i/>
        </w:rPr>
        <w:t>Revised language, “to no more than 15% of covered employees at one or more fixed, point of sale location or locations” without changing substance.</w:t>
      </w:r>
    </w:p>
    <w:p w:rsidR="00FD41DB" w:rsidRPr="00FD41DB" w:rsidRDefault="00FD41DB" w:rsidP="00FD41DB">
      <w:pPr>
        <w:ind w:left="720"/>
        <w:rPr>
          <w:rFonts w:asciiTheme="minorHAnsi" w:hAnsiTheme="minorHAnsi" w:cs="Arial"/>
        </w:rPr>
      </w:pPr>
    </w:p>
    <w:p w:rsidR="00224290" w:rsidRPr="00FD41DB" w:rsidRDefault="00224290" w:rsidP="00B15FC6">
      <w:pPr>
        <w:pStyle w:val="NormalWeb"/>
        <w:spacing w:before="0" w:beforeAutospacing="0" w:after="0" w:afterAutospacing="0"/>
        <w:rPr>
          <w:rFonts w:asciiTheme="minorHAnsi" w:hAnsiTheme="minorHAnsi"/>
        </w:rPr>
      </w:pPr>
    </w:p>
    <w:sectPr w:rsidR="00224290" w:rsidRPr="00FD41DB" w:rsidSect="0095592C">
      <w:headerReference w:type="first" r:id="rId14"/>
      <w:footerReference w:type="first" r:id="rId15"/>
      <w:type w:val="continuous"/>
      <w:pgSz w:w="12240" w:h="15840" w:code="1"/>
      <w:pgMar w:top="1800" w:right="1800" w:bottom="1800" w:left="1800"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60" w:rsidRDefault="00691060">
      <w:r>
        <w:separator/>
      </w:r>
    </w:p>
  </w:endnote>
  <w:endnote w:type="continuationSeparator" w:id="0">
    <w:p w:rsidR="00691060" w:rsidRDefault="0069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32" w:type="dxa"/>
      <w:tblLayout w:type="fixed"/>
      <w:tblLook w:val="0000" w:firstRow="0" w:lastRow="0" w:firstColumn="0" w:lastColumn="0" w:noHBand="0" w:noVBand="0"/>
    </w:tblPr>
    <w:tblGrid>
      <w:gridCol w:w="10080"/>
    </w:tblGrid>
    <w:tr w:rsidR="008F6683">
      <w:tc>
        <w:tcPr>
          <w:tcW w:w="10080" w:type="dxa"/>
        </w:tcPr>
        <w:p w:rsidR="008F6683" w:rsidRDefault="008F6683">
          <w:pPr>
            <w:pBdr>
              <w:top w:val="single" w:sz="4" w:space="1" w:color="0000FF"/>
            </w:pBdr>
            <w:tabs>
              <w:tab w:val="right" w:pos="8640"/>
            </w:tabs>
            <w:jc w:val="center"/>
            <w:rPr>
              <w:sz w:val="18"/>
            </w:rPr>
          </w:pPr>
          <w:r>
            <w:rPr>
              <w:sz w:val="18"/>
            </w:rPr>
            <w:t>8</w:t>
          </w:r>
          <w:r w:rsidR="00542B7B">
            <w:rPr>
              <w:sz w:val="18"/>
            </w:rPr>
            <w:t>10 Third Avenue, Suite 3</w:t>
          </w:r>
          <w:r>
            <w:rPr>
              <w:sz w:val="18"/>
            </w:rPr>
            <w:t>50, Seattle, WA 98104-1627</w:t>
          </w:r>
        </w:p>
        <w:p w:rsidR="008F6683" w:rsidRDefault="008F6683">
          <w:pPr>
            <w:tabs>
              <w:tab w:val="right" w:pos="8640"/>
            </w:tabs>
            <w:jc w:val="center"/>
            <w:rPr>
              <w:sz w:val="18"/>
            </w:rPr>
          </w:pPr>
          <w:r>
            <w:rPr>
              <w:sz w:val="18"/>
            </w:rPr>
            <w:t xml:space="preserve">Tel: (206) 684-4500, Fax: (206) 684-0332, TYY (206) 684-4503, website </w:t>
          </w:r>
          <w:hyperlink r:id="rId1" w:history="1">
            <w:r w:rsidR="00542B7B" w:rsidRPr="00F61FD1">
              <w:rPr>
                <w:rStyle w:val="Hyperlink"/>
                <w:sz w:val="18"/>
              </w:rPr>
              <w:t>http://www.seattle.gov/laborstandards</w:t>
            </w:r>
          </w:hyperlink>
          <w:r w:rsidR="00542B7B">
            <w:rPr>
              <w:sz w:val="18"/>
            </w:rPr>
            <w:t xml:space="preserve"> </w:t>
          </w:r>
        </w:p>
        <w:p w:rsidR="008F6683" w:rsidRDefault="008F6683">
          <w:pPr>
            <w:tabs>
              <w:tab w:val="right" w:pos="8640"/>
            </w:tabs>
            <w:jc w:val="center"/>
            <w:rPr>
              <w:sz w:val="18"/>
            </w:rPr>
          </w:pPr>
          <w:r>
            <w:rPr>
              <w:sz w:val="18"/>
            </w:rPr>
            <w:t xml:space="preserve">An equal opportunity - affirmative action employer. </w:t>
          </w:r>
          <w:r w:rsidR="00542B7B">
            <w:rPr>
              <w:sz w:val="18"/>
            </w:rPr>
            <w:br/>
          </w:r>
          <w:r>
            <w:rPr>
              <w:sz w:val="18"/>
            </w:rPr>
            <w:t xml:space="preserve">Accommodations for people with disabilities </w:t>
          </w:r>
          <w:r w:rsidR="00436EE3">
            <w:rPr>
              <w:sz w:val="18"/>
            </w:rPr>
            <w:t xml:space="preserve">and language interpretive services </w:t>
          </w:r>
          <w:r>
            <w:rPr>
              <w:sz w:val="18"/>
            </w:rPr>
            <w:t>provided upon request.</w:t>
          </w:r>
        </w:p>
      </w:tc>
    </w:tr>
  </w:tbl>
  <w:p w:rsidR="008F6683" w:rsidRDefault="008F6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60" w:rsidRDefault="00691060">
      <w:r>
        <w:separator/>
      </w:r>
    </w:p>
  </w:footnote>
  <w:footnote w:type="continuationSeparator" w:id="0">
    <w:p w:rsidR="00691060" w:rsidRDefault="00691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83" w:rsidRDefault="008F6683">
    <w:pPr>
      <w:tabs>
        <w:tab w:val="right" w:pos="8640"/>
      </w:tabs>
      <w:ind w:hanging="360"/>
    </w:pPr>
    <w:r>
      <w:tab/>
    </w:r>
  </w:p>
  <w:tbl>
    <w:tblPr>
      <w:tblW w:w="0" w:type="auto"/>
      <w:tblInd w:w="-342" w:type="dxa"/>
      <w:tblLayout w:type="fixed"/>
      <w:tblLook w:val="0000" w:firstRow="0" w:lastRow="0" w:firstColumn="0" w:lastColumn="0" w:noHBand="0" w:noVBand="0"/>
    </w:tblPr>
    <w:tblGrid>
      <w:gridCol w:w="270"/>
      <w:gridCol w:w="9630"/>
    </w:tblGrid>
    <w:tr w:rsidR="008F6683">
      <w:trPr>
        <w:cantSplit/>
        <w:trHeight w:val="627"/>
      </w:trPr>
      <w:tc>
        <w:tcPr>
          <w:tcW w:w="270" w:type="dxa"/>
          <w:vMerge w:val="restart"/>
        </w:tcPr>
        <w:p w:rsidR="008F6683" w:rsidRDefault="008F6683">
          <w:pPr>
            <w:pStyle w:val="addresslabel"/>
            <w:tabs>
              <w:tab w:val="right" w:pos="8640"/>
            </w:tabs>
            <w:spacing w:after="120"/>
          </w:pPr>
          <w:r>
            <w:tab/>
          </w:r>
          <w:r>
            <w:rPr>
              <w:noProof/>
            </w:rPr>
            <w:drawing>
              <wp:anchor distT="0" distB="0" distL="114300" distR="114300" simplePos="0" relativeHeight="251657216" behindDoc="0" locked="1" layoutInCell="0" allowOverlap="1" wp14:anchorId="6B401509" wp14:editId="1473DDA1">
                <wp:simplePos x="0" y="0"/>
                <wp:positionH relativeFrom="column">
                  <wp:posOffset>-681990</wp:posOffset>
                </wp:positionH>
                <wp:positionV relativeFrom="paragraph">
                  <wp:posOffset>98425</wp:posOffset>
                </wp:positionV>
                <wp:extent cx="583565" cy="5746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583565" cy="574675"/>
                        </a:xfrm>
                        <a:prstGeom prst="rect">
                          <a:avLst/>
                        </a:prstGeom>
                        <a:noFill/>
                      </pic:spPr>
                    </pic:pic>
                  </a:graphicData>
                </a:graphic>
                <wp14:sizeRelV relativeFrom="margin">
                  <wp14:pctHeight>0</wp14:pctHeight>
                </wp14:sizeRelV>
              </wp:anchor>
            </w:drawing>
          </w:r>
        </w:p>
        <w:p w:rsidR="008F6683" w:rsidRDefault="008F6683">
          <w:pPr>
            <w:tabs>
              <w:tab w:val="right" w:pos="8640"/>
            </w:tabs>
            <w:rPr>
              <w:rFonts w:ascii="Helvetica" w:hAnsi="Helvetica"/>
              <w:sz w:val="16"/>
            </w:rPr>
          </w:pPr>
        </w:p>
      </w:tc>
      <w:tc>
        <w:tcPr>
          <w:tcW w:w="9630" w:type="dxa"/>
          <w:tcBorders>
            <w:bottom w:val="single" w:sz="6" w:space="0" w:color="0000FF"/>
          </w:tcBorders>
        </w:tcPr>
        <w:p w:rsidR="008F6683" w:rsidRDefault="008F6683">
          <w:pPr>
            <w:pStyle w:val="Heading1"/>
            <w:rPr>
              <w:rFonts w:ascii="Helvetica" w:hAnsi="Helvetica"/>
              <w:b w:val="0"/>
              <w:sz w:val="40"/>
            </w:rPr>
          </w:pPr>
          <w:r>
            <w:rPr>
              <w:b w:val="0"/>
              <w:sz w:val="40"/>
            </w:rPr>
            <w:t xml:space="preserve">City of </w:t>
          </w:r>
          <w:smartTag w:uri="urn:schemas-microsoft-com:office:smarttags" w:element="City">
            <w:smartTag w:uri="urn:schemas-microsoft-com:office:smarttags" w:element="place">
              <w:r>
                <w:rPr>
                  <w:b w:val="0"/>
                  <w:sz w:val="40"/>
                </w:rPr>
                <w:t>Seattle</w:t>
              </w:r>
            </w:smartTag>
          </w:smartTag>
        </w:p>
      </w:tc>
    </w:tr>
    <w:tr w:rsidR="008F6683">
      <w:trPr>
        <w:cantSplit/>
      </w:trPr>
      <w:tc>
        <w:tcPr>
          <w:tcW w:w="270" w:type="dxa"/>
          <w:vMerge/>
        </w:tcPr>
        <w:p w:rsidR="008F6683" w:rsidRDefault="008F6683">
          <w:pPr>
            <w:tabs>
              <w:tab w:val="right" w:pos="8640"/>
            </w:tabs>
            <w:rPr>
              <w:rFonts w:ascii="Helvetica" w:hAnsi="Helvetica"/>
              <w:sz w:val="16"/>
            </w:rPr>
          </w:pPr>
        </w:p>
      </w:tc>
      <w:tc>
        <w:tcPr>
          <w:tcW w:w="9630" w:type="dxa"/>
        </w:tcPr>
        <w:p w:rsidR="008F6683" w:rsidRDefault="0091452E">
          <w:pPr>
            <w:tabs>
              <w:tab w:val="right" w:pos="8640"/>
            </w:tabs>
            <w:rPr>
              <w:b/>
              <w:sz w:val="40"/>
            </w:rPr>
          </w:pPr>
          <w:r>
            <w:rPr>
              <w:color w:val="0000FF"/>
              <w:sz w:val="16"/>
            </w:rPr>
            <w:t>Ed</w:t>
          </w:r>
          <w:r w:rsidR="004907AC">
            <w:rPr>
              <w:color w:val="0000FF"/>
              <w:sz w:val="16"/>
            </w:rPr>
            <w:t>ward B.</w:t>
          </w:r>
          <w:r>
            <w:rPr>
              <w:color w:val="0000FF"/>
              <w:sz w:val="16"/>
            </w:rPr>
            <w:t xml:space="preserve"> Murray</w:t>
          </w:r>
          <w:r w:rsidR="008F6683">
            <w:rPr>
              <w:color w:val="0000FF"/>
              <w:sz w:val="16"/>
            </w:rPr>
            <w:t>, Mayor</w:t>
          </w:r>
        </w:p>
        <w:p w:rsidR="00C52CD3" w:rsidRPr="00C52CD3" w:rsidRDefault="00C52CD3" w:rsidP="001172D8">
          <w:pPr>
            <w:pStyle w:val="Heading2"/>
            <w:rPr>
              <w:sz w:val="12"/>
            </w:rPr>
          </w:pPr>
        </w:p>
        <w:p w:rsidR="008F6683" w:rsidRDefault="008F6683" w:rsidP="001172D8">
          <w:pPr>
            <w:pStyle w:val="Heading2"/>
            <w:rPr>
              <w:sz w:val="28"/>
            </w:rPr>
          </w:pPr>
          <w:r>
            <w:rPr>
              <w:sz w:val="28"/>
            </w:rPr>
            <w:t xml:space="preserve">Seattle Office </w:t>
          </w:r>
          <w:r w:rsidR="002D1003">
            <w:rPr>
              <w:sz w:val="28"/>
            </w:rPr>
            <w:t>of Labor Standards</w:t>
          </w:r>
          <w:r w:rsidR="001172D8">
            <w:rPr>
              <w:sz w:val="28"/>
            </w:rPr>
            <w:t xml:space="preserve">                           </w:t>
          </w:r>
        </w:p>
        <w:p w:rsidR="008F6683" w:rsidRDefault="001172D8">
          <w:pPr>
            <w:pStyle w:val="Footer"/>
            <w:tabs>
              <w:tab w:val="clear" w:pos="4320"/>
              <w:tab w:val="clear" w:pos="8640"/>
            </w:tabs>
            <w:rPr>
              <w:sz w:val="20"/>
            </w:rPr>
          </w:pPr>
          <w:r>
            <w:rPr>
              <w:sz w:val="20"/>
            </w:rPr>
            <w:t xml:space="preserve">Dylan Orr, Director </w:t>
          </w:r>
        </w:p>
      </w:tc>
    </w:tr>
    <w:tr w:rsidR="001172D8">
      <w:trPr>
        <w:cantSplit/>
      </w:trPr>
      <w:tc>
        <w:tcPr>
          <w:tcW w:w="270" w:type="dxa"/>
        </w:tcPr>
        <w:p w:rsidR="001172D8" w:rsidRDefault="001172D8">
          <w:pPr>
            <w:tabs>
              <w:tab w:val="right" w:pos="8640"/>
            </w:tabs>
            <w:rPr>
              <w:rFonts w:ascii="Helvetica" w:hAnsi="Helvetica"/>
              <w:sz w:val="16"/>
            </w:rPr>
          </w:pPr>
        </w:p>
      </w:tc>
      <w:tc>
        <w:tcPr>
          <w:tcW w:w="9630" w:type="dxa"/>
        </w:tcPr>
        <w:p w:rsidR="001172D8" w:rsidRDefault="001172D8">
          <w:pPr>
            <w:tabs>
              <w:tab w:val="right" w:pos="8640"/>
            </w:tabs>
            <w:rPr>
              <w:color w:val="0000FF"/>
              <w:sz w:val="16"/>
            </w:rPr>
          </w:pPr>
        </w:p>
      </w:tc>
    </w:tr>
  </w:tbl>
  <w:p w:rsidR="008F6683" w:rsidRDefault="008F6683">
    <w:pPr>
      <w:tabs>
        <w:tab w:val="right" w:pos="8640"/>
      </w:tabs>
      <w:ind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012"/>
    <w:multiLevelType w:val="hybridMultilevel"/>
    <w:tmpl w:val="DA5A6A3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F64CD0"/>
    <w:multiLevelType w:val="hybridMultilevel"/>
    <w:tmpl w:val="2998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2598D"/>
    <w:multiLevelType w:val="multilevel"/>
    <w:tmpl w:val="FD74D044"/>
    <w:lvl w:ilvl="0">
      <w:start w:val="1"/>
      <w:numFmt w:val="decimal"/>
      <w:lvlText w:val="%1."/>
      <w:lvlJc w:val="left"/>
      <w:pPr>
        <w:tabs>
          <w:tab w:val="num" w:pos="720"/>
        </w:tabs>
        <w:ind w:left="720" w:hanging="360"/>
      </w:pPr>
      <w:rPr>
        <w:rFonts w:hint="default"/>
        <w:i w:val="0"/>
        <w:sz w:val="20"/>
      </w:rPr>
    </w:lvl>
    <w:lvl w:ilvl="1">
      <w:start w:val="1"/>
      <w:numFmt w:val="decimal"/>
      <w:lvlText w:val="%2."/>
      <w:lvlJc w:val="left"/>
      <w:pPr>
        <w:tabs>
          <w:tab w:val="num" w:pos="1440"/>
        </w:tabs>
        <w:ind w:left="1440" w:hanging="360"/>
      </w:pPr>
      <w:rPr>
        <w:rFonts w:hint="default"/>
        <w:b w:val="0"/>
        <w:i w:val="0"/>
        <w:sz w:val="22"/>
        <w:szCs w:val="22"/>
      </w:rPr>
    </w:lvl>
    <w:lvl w:ilvl="2">
      <w:start w:val="1"/>
      <w:numFmt w:val="lowerLetter"/>
      <w:lvlText w:val="%3."/>
      <w:lvlJc w:val="left"/>
      <w:pPr>
        <w:tabs>
          <w:tab w:val="num" w:pos="2160"/>
        </w:tabs>
        <w:ind w:left="2160" w:hanging="360"/>
      </w:pPr>
      <w:rPr>
        <w:rFonts w:hint="default"/>
        <w:b w:val="0"/>
        <w:sz w:val="22"/>
        <w:szCs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D5ED4"/>
    <w:multiLevelType w:val="hybridMultilevel"/>
    <w:tmpl w:val="50A2AD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C3CE9"/>
    <w:multiLevelType w:val="multilevel"/>
    <w:tmpl w:val="D90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0458A"/>
    <w:multiLevelType w:val="multilevel"/>
    <w:tmpl w:val="1EDE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F1DAE"/>
    <w:multiLevelType w:val="multilevel"/>
    <w:tmpl w:val="806AE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i w:val="0"/>
        <w:sz w:val="22"/>
        <w:szCs w:val="22"/>
      </w:rPr>
    </w:lvl>
    <w:lvl w:ilvl="2">
      <w:start w:val="1"/>
      <w:numFmt w:val="lowerLetter"/>
      <w:lvlText w:val="%3."/>
      <w:lvlJc w:val="left"/>
      <w:pPr>
        <w:tabs>
          <w:tab w:val="num" w:pos="2160"/>
        </w:tabs>
        <w:ind w:left="2160" w:hanging="360"/>
      </w:pPr>
      <w:rPr>
        <w:rFonts w:hint="default"/>
        <w:b w:val="0"/>
        <w:sz w:val="22"/>
        <w:szCs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257F4"/>
    <w:multiLevelType w:val="multilevel"/>
    <w:tmpl w:val="806AE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i w:val="0"/>
        <w:sz w:val="22"/>
        <w:szCs w:val="22"/>
      </w:rPr>
    </w:lvl>
    <w:lvl w:ilvl="2">
      <w:start w:val="1"/>
      <w:numFmt w:val="lowerLetter"/>
      <w:lvlText w:val="%3."/>
      <w:lvlJc w:val="left"/>
      <w:pPr>
        <w:tabs>
          <w:tab w:val="num" w:pos="2160"/>
        </w:tabs>
        <w:ind w:left="2160" w:hanging="360"/>
      </w:pPr>
      <w:rPr>
        <w:rFonts w:hint="default"/>
        <w:b w:val="0"/>
        <w:sz w:val="22"/>
        <w:szCs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154"/>
    <w:multiLevelType w:val="multilevel"/>
    <w:tmpl w:val="68EEE8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i w:val="0"/>
        <w:sz w:val="22"/>
        <w:szCs w:val="22"/>
      </w:rPr>
    </w:lvl>
    <w:lvl w:ilvl="2">
      <w:start w:val="1"/>
      <w:numFmt w:val="lowerLetter"/>
      <w:lvlText w:val="%3."/>
      <w:lvlJc w:val="left"/>
      <w:pPr>
        <w:tabs>
          <w:tab w:val="num" w:pos="2160"/>
        </w:tabs>
        <w:ind w:left="2160" w:hanging="360"/>
      </w:pPr>
      <w:rPr>
        <w:rFonts w:hint="default"/>
        <w:b w:val="0"/>
        <w:sz w:val="22"/>
        <w:szCs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350EB"/>
    <w:multiLevelType w:val="hybridMultilevel"/>
    <w:tmpl w:val="FAD0964C"/>
    <w:lvl w:ilvl="0" w:tplc="0409000F">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8E7FC3"/>
    <w:multiLevelType w:val="hybridMultilevel"/>
    <w:tmpl w:val="1EBA1C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7B4DF1"/>
    <w:multiLevelType w:val="multilevel"/>
    <w:tmpl w:val="806AE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i w:val="0"/>
        <w:sz w:val="22"/>
        <w:szCs w:val="22"/>
      </w:rPr>
    </w:lvl>
    <w:lvl w:ilvl="2">
      <w:start w:val="1"/>
      <w:numFmt w:val="lowerLetter"/>
      <w:lvlText w:val="%3."/>
      <w:lvlJc w:val="left"/>
      <w:pPr>
        <w:tabs>
          <w:tab w:val="num" w:pos="2160"/>
        </w:tabs>
        <w:ind w:left="2160" w:hanging="360"/>
      </w:pPr>
      <w:rPr>
        <w:rFonts w:hint="default"/>
        <w:b w:val="0"/>
        <w:sz w:val="22"/>
        <w:szCs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1348F"/>
    <w:multiLevelType w:val="multilevel"/>
    <w:tmpl w:val="FD74D044"/>
    <w:lvl w:ilvl="0">
      <w:start w:val="1"/>
      <w:numFmt w:val="decimal"/>
      <w:lvlText w:val="%1."/>
      <w:lvlJc w:val="left"/>
      <w:pPr>
        <w:tabs>
          <w:tab w:val="num" w:pos="720"/>
        </w:tabs>
        <w:ind w:left="720" w:hanging="360"/>
      </w:pPr>
      <w:rPr>
        <w:rFonts w:hint="default"/>
        <w:i w:val="0"/>
        <w:sz w:val="20"/>
      </w:rPr>
    </w:lvl>
    <w:lvl w:ilvl="1">
      <w:start w:val="1"/>
      <w:numFmt w:val="decimal"/>
      <w:lvlText w:val="%2."/>
      <w:lvlJc w:val="left"/>
      <w:pPr>
        <w:tabs>
          <w:tab w:val="num" w:pos="1440"/>
        </w:tabs>
        <w:ind w:left="1440" w:hanging="360"/>
      </w:pPr>
      <w:rPr>
        <w:rFonts w:hint="default"/>
        <w:b w:val="0"/>
        <w:i w:val="0"/>
        <w:sz w:val="22"/>
        <w:szCs w:val="22"/>
      </w:rPr>
    </w:lvl>
    <w:lvl w:ilvl="2">
      <w:start w:val="1"/>
      <w:numFmt w:val="lowerLetter"/>
      <w:lvlText w:val="%3."/>
      <w:lvlJc w:val="left"/>
      <w:pPr>
        <w:tabs>
          <w:tab w:val="num" w:pos="2160"/>
        </w:tabs>
        <w:ind w:left="2160" w:hanging="360"/>
      </w:pPr>
      <w:rPr>
        <w:rFonts w:hint="default"/>
        <w:b w:val="0"/>
        <w:sz w:val="22"/>
        <w:szCs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B2F82"/>
    <w:multiLevelType w:val="hybridMultilevel"/>
    <w:tmpl w:val="1CA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81D3C"/>
    <w:multiLevelType w:val="multilevel"/>
    <w:tmpl w:val="806AE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i w:val="0"/>
        <w:sz w:val="22"/>
        <w:szCs w:val="22"/>
      </w:rPr>
    </w:lvl>
    <w:lvl w:ilvl="2">
      <w:start w:val="1"/>
      <w:numFmt w:val="lowerLetter"/>
      <w:lvlText w:val="%3."/>
      <w:lvlJc w:val="left"/>
      <w:pPr>
        <w:tabs>
          <w:tab w:val="num" w:pos="2160"/>
        </w:tabs>
        <w:ind w:left="2160" w:hanging="360"/>
      </w:pPr>
      <w:rPr>
        <w:rFonts w:hint="default"/>
        <w:b w:val="0"/>
        <w:sz w:val="22"/>
        <w:szCs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E11B2"/>
    <w:multiLevelType w:val="multilevel"/>
    <w:tmpl w:val="2E24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A1AE0"/>
    <w:multiLevelType w:val="multilevel"/>
    <w:tmpl w:val="806AE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i w:val="0"/>
        <w:sz w:val="22"/>
        <w:szCs w:val="22"/>
      </w:rPr>
    </w:lvl>
    <w:lvl w:ilvl="2">
      <w:start w:val="1"/>
      <w:numFmt w:val="lowerLetter"/>
      <w:lvlText w:val="%3."/>
      <w:lvlJc w:val="left"/>
      <w:pPr>
        <w:tabs>
          <w:tab w:val="num" w:pos="2160"/>
        </w:tabs>
        <w:ind w:left="2160" w:hanging="360"/>
      </w:pPr>
      <w:rPr>
        <w:rFonts w:hint="default"/>
        <w:b w:val="0"/>
        <w:sz w:val="22"/>
        <w:szCs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E2FA6"/>
    <w:multiLevelType w:val="multilevel"/>
    <w:tmpl w:val="7F429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B2147"/>
    <w:multiLevelType w:val="hybridMultilevel"/>
    <w:tmpl w:val="C7A46F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372668"/>
    <w:multiLevelType w:val="hybridMultilevel"/>
    <w:tmpl w:val="88D4CB3C"/>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0" w15:restartNumberingAfterBreak="0">
    <w:nsid w:val="4786103B"/>
    <w:multiLevelType w:val="hybridMultilevel"/>
    <w:tmpl w:val="B3A2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D45DF"/>
    <w:multiLevelType w:val="hybridMultilevel"/>
    <w:tmpl w:val="4F14316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40D3AE0"/>
    <w:multiLevelType w:val="hybridMultilevel"/>
    <w:tmpl w:val="D820D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E26BF4"/>
    <w:multiLevelType w:val="hybridMultilevel"/>
    <w:tmpl w:val="8F44AD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4C4246"/>
    <w:multiLevelType w:val="multilevel"/>
    <w:tmpl w:val="806AE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i w:val="0"/>
        <w:sz w:val="22"/>
        <w:szCs w:val="22"/>
      </w:rPr>
    </w:lvl>
    <w:lvl w:ilvl="2">
      <w:start w:val="1"/>
      <w:numFmt w:val="lowerLetter"/>
      <w:lvlText w:val="%3."/>
      <w:lvlJc w:val="left"/>
      <w:pPr>
        <w:tabs>
          <w:tab w:val="num" w:pos="2160"/>
        </w:tabs>
        <w:ind w:left="2160" w:hanging="360"/>
      </w:pPr>
      <w:rPr>
        <w:rFonts w:hint="default"/>
        <w:b w:val="0"/>
        <w:sz w:val="22"/>
        <w:szCs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A81EE3"/>
    <w:multiLevelType w:val="hybridMultilevel"/>
    <w:tmpl w:val="68B09ECC"/>
    <w:lvl w:ilvl="0" w:tplc="03FE89A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337093"/>
    <w:multiLevelType w:val="multilevel"/>
    <w:tmpl w:val="806AE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i w:val="0"/>
        <w:sz w:val="22"/>
        <w:szCs w:val="22"/>
      </w:rPr>
    </w:lvl>
    <w:lvl w:ilvl="2">
      <w:start w:val="1"/>
      <w:numFmt w:val="lowerLetter"/>
      <w:lvlText w:val="%3."/>
      <w:lvlJc w:val="left"/>
      <w:pPr>
        <w:tabs>
          <w:tab w:val="num" w:pos="2160"/>
        </w:tabs>
        <w:ind w:left="2160" w:hanging="360"/>
      </w:pPr>
      <w:rPr>
        <w:rFonts w:hint="default"/>
        <w:b w:val="0"/>
        <w:sz w:val="22"/>
        <w:szCs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E438F"/>
    <w:multiLevelType w:val="multilevel"/>
    <w:tmpl w:val="2B109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4A5A21"/>
    <w:multiLevelType w:val="hybridMultilevel"/>
    <w:tmpl w:val="E87ECBF2"/>
    <w:lvl w:ilvl="0" w:tplc="F3801DF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E02DBC"/>
    <w:multiLevelType w:val="singleLevel"/>
    <w:tmpl w:val="88327828"/>
    <w:lvl w:ilvl="0">
      <w:start w:val="1"/>
      <w:numFmt w:val="decimal"/>
      <w:lvlText w:val="%1."/>
      <w:lvlJc w:val="left"/>
      <w:pPr>
        <w:tabs>
          <w:tab w:val="num" w:pos="720"/>
        </w:tabs>
        <w:ind w:left="720" w:hanging="720"/>
      </w:pPr>
      <w:rPr>
        <w:rFonts w:cs="Times New Roman" w:hint="default"/>
      </w:rPr>
    </w:lvl>
  </w:abstractNum>
  <w:abstractNum w:abstractNumId="30" w15:restartNumberingAfterBreak="0">
    <w:nsid w:val="7D840E3E"/>
    <w:multiLevelType w:val="multilevel"/>
    <w:tmpl w:val="22D6C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680EB5"/>
    <w:multiLevelType w:val="multilevel"/>
    <w:tmpl w:val="B4B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3"/>
  </w:num>
  <w:num w:numId="4">
    <w:abstractNumId w:val="10"/>
  </w:num>
  <w:num w:numId="5">
    <w:abstractNumId w:val="29"/>
  </w:num>
  <w:num w:numId="6">
    <w:abstractNumId w:val="21"/>
  </w:num>
  <w:num w:numId="7">
    <w:abstractNumId w:val="19"/>
  </w:num>
  <w:num w:numId="8">
    <w:abstractNumId w:val="1"/>
  </w:num>
  <w:num w:numId="9">
    <w:abstractNumId w:val="28"/>
  </w:num>
  <w:num w:numId="10">
    <w:abstractNumId w:val="25"/>
  </w:num>
  <w:num w:numId="11">
    <w:abstractNumId w:val="20"/>
  </w:num>
  <w:num w:numId="12">
    <w:abstractNumId w:val="22"/>
  </w:num>
  <w:num w:numId="13">
    <w:abstractNumId w:val="31"/>
  </w:num>
  <w:num w:numId="14">
    <w:abstractNumId w:val="15"/>
  </w:num>
  <w:num w:numId="15">
    <w:abstractNumId w:val="4"/>
  </w:num>
  <w:num w:numId="16">
    <w:abstractNumId w:val="5"/>
  </w:num>
  <w:num w:numId="17">
    <w:abstractNumId w:val="30"/>
  </w:num>
  <w:num w:numId="18">
    <w:abstractNumId w:val="27"/>
  </w:num>
  <w:num w:numId="19">
    <w:abstractNumId w:val="17"/>
  </w:num>
  <w:num w:numId="20">
    <w:abstractNumId w:val="18"/>
  </w:num>
  <w:num w:numId="21">
    <w:abstractNumId w:val="0"/>
  </w:num>
  <w:num w:numId="22">
    <w:abstractNumId w:val="8"/>
  </w:num>
  <w:num w:numId="23">
    <w:abstractNumId w:val="13"/>
  </w:num>
  <w:num w:numId="24">
    <w:abstractNumId w:val="14"/>
  </w:num>
  <w:num w:numId="25">
    <w:abstractNumId w:val="24"/>
  </w:num>
  <w:num w:numId="26">
    <w:abstractNumId w:val="6"/>
  </w:num>
  <w:num w:numId="27">
    <w:abstractNumId w:val="16"/>
  </w:num>
  <w:num w:numId="28">
    <w:abstractNumId w:val="12"/>
  </w:num>
  <w:num w:numId="29">
    <w:abstractNumId w:val="7"/>
  </w:num>
  <w:num w:numId="30">
    <w:abstractNumId w:val="11"/>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0"/>
    <w:rsid w:val="0000512E"/>
    <w:rsid w:val="00010F5C"/>
    <w:rsid w:val="00011854"/>
    <w:rsid w:val="00026CEF"/>
    <w:rsid w:val="000561E9"/>
    <w:rsid w:val="00067767"/>
    <w:rsid w:val="00085997"/>
    <w:rsid w:val="00091126"/>
    <w:rsid w:val="00091A44"/>
    <w:rsid w:val="00092C8F"/>
    <w:rsid w:val="00093452"/>
    <w:rsid w:val="000969DC"/>
    <w:rsid w:val="00096A30"/>
    <w:rsid w:val="00097CDC"/>
    <w:rsid w:val="000A15AA"/>
    <w:rsid w:val="000A336B"/>
    <w:rsid w:val="000A3394"/>
    <w:rsid w:val="000A360E"/>
    <w:rsid w:val="000A49A0"/>
    <w:rsid w:val="000A72A5"/>
    <w:rsid w:val="000A7D0C"/>
    <w:rsid w:val="000B1B39"/>
    <w:rsid w:val="000B4170"/>
    <w:rsid w:val="000B71D3"/>
    <w:rsid w:val="000B751B"/>
    <w:rsid w:val="000D54DB"/>
    <w:rsid w:val="00100E7F"/>
    <w:rsid w:val="001172D8"/>
    <w:rsid w:val="00123026"/>
    <w:rsid w:val="0014113C"/>
    <w:rsid w:val="001541F9"/>
    <w:rsid w:val="00160958"/>
    <w:rsid w:val="00162ABB"/>
    <w:rsid w:val="0017054C"/>
    <w:rsid w:val="00183B64"/>
    <w:rsid w:val="001906F1"/>
    <w:rsid w:val="00192A0A"/>
    <w:rsid w:val="00192C3A"/>
    <w:rsid w:val="00193257"/>
    <w:rsid w:val="001A58D9"/>
    <w:rsid w:val="001B4741"/>
    <w:rsid w:val="001C53AB"/>
    <w:rsid w:val="001C6D12"/>
    <w:rsid w:val="001E190C"/>
    <w:rsid w:val="001E49FD"/>
    <w:rsid w:val="001E7AC6"/>
    <w:rsid w:val="001F16AB"/>
    <w:rsid w:val="001F2D68"/>
    <w:rsid w:val="0020035E"/>
    <w:rsid w:val="00201B99"/>
    <w:rsid w:val="00202365"/>
    <w:rsid w:val="00204CBE"/>
    <w:rsid w:val="00205BFA"/>
    <w:rsid w:val="00211D5B"/>
    <w:rsid w:val="0021204D"/>
    <w:rsid w:val="00224290"/>
    <w:rsid w:val="00235270"/>
    <w:rsid w:val="002359CE"/>
    <w:rsid w:val="00244D38"/>
    <w:rsid w:val="0024598A"/>
    <w:rsid w:val="002518A1"/>
    <w:rsid w:val="0025277F"/>
    <w:rsid w:val="002537F5"/>
    <w:rsid w:val="00257374"/>
    <w:rsid w:val="002576EB"/>
    <w:rsid w:val="00260947"/>
    <w:rsid w:val="002628C6"/>
    <w:rsid w:val="0026363D"/>
    <w:rsid w:val="00265C99"/>
    <w:rsid w:val="00274D10"/>
    <w:rsid w:val="00276940"/>
    <w:rsid w:val="0027778F"/>
    <w:rsid w:val="002807E3"/>
    <w:rsid w:val="002859D2"/>
    <w:rsid w:val="002935E6"/>
    <w:rsid w:val="002963A8"/>
    <w:rsid w:val="002A49C3"/>
    <w:rsid w:val="002B12E4"/>
    <w:rsid w:val="002B5B6B"/>
    <w:rsid w:val="002C1B53"/>
    <w:rsid w:val="002C5001"/>
    <w:rsid w:val="002D1003"/>
    <w:rsid w:val="002D1045"/>
    <w:rsid w:val="002D5CCE"/>
    <w:rsid w:val="002E3A66"/>
    <w:rsid w:val="002E3EA2"/>
    <w:rsid w:val="002E4C17"/>
    <w:rsid w:val="002F0D1C"/>
    <w:rsid w:val="002F6CF9"/>
    <w:rsid w:val="00303A8C"/>
    <w:rsid w:val="00305DC4"/>
    <w:rsid w:val="00315BF0"/>
    <w:rsid w:val="00326DD9"/>
    <w:rsid w:val="00331603"/>
    <w:rsid w:val="003372AE"/>
    <w:rsid w:val="00337398"/>
    <w:rsid w:val="00341E74"/>
    <w:rsid w:val="00345AAA"/>
    <w:rsid w:val="00345C15"/>
    <w:rsid w:val="003579B2"/>
    <w:rsid w:val="00361BF4"/>
    <w:rsid w:val="0036775E"/>
    <w:rsid w:val="00367B4F"/>
    <w:rsid w:val="003746FB"/>
    <w:rsid w:val="003803E6"/>
    <w:rsid w:val="00382393"/>
    <w:rsid w:val="0038292A"/>
    <w:rsid w:val="00386510"/>
    <w:rsid w:val="00395E0D"/>
    <w:rsid w:val="003A08EF"/>
    <w:rsid w:val="003A27F4"/>
    <w:rsid w:val="003A2FA6"/>
    <w:rsid w:val="003C2EE8"/>
    <w:rsid w:val="003C2F0B"/>
    <w:rsid w:val="003D1C89"/>
    <w:rsid w:val="003D3E03"/>
    <w:rsid w:val="003D51AB"/>
    <w:rsid w:val="003E45A9"/>
    <w:rsid w:val="003F165C"/>
    <w:rsid w:val="00400FCE"/>
    <w:rsid w:val="004015FD"/>
    <w:rsid w:val="00402717"/>
    <w:rsid w:val="00404F9D"/>
    <w:rsid w:val="004051ED"/>
    <w:rsid w:val="004066B8"/>
    <w:rsid w:val="00414DD0"/>
    <w:rsid w:val="004155A7"/>
    <w:rsid w:val="00415F6C"/>
    <w:rsid w:val="00420D56"/>
    <w:rsid w:val="00430FDD"/>
    <w:rsid w:val="0043462F"/>
    <w:rsid w:val="00436EE3"/>
    <w:rsid w:val="0043795D"/>
    <w:rsid w:val="00447F65"/>
    <w:rsid w:val="00450B3B"/>
    <w:rsid w:val="00454A59"/>
    <w:rsid w:val="00457123"/>
    <w:rsid w:val="00460D7E"/>
    <w:rsid w:val="00461D03"/>
    <w:rsid w:val="0046715F"/>
    <w:rsid w:val="0047149A"/>
    <w:rsid w:val="0047467C"/>
    <w:rsid w:val="00476A31"/>
    <w:rsid w:val="004814A9"/>
    <w:rsid w:val="0048743F"/>
    <w:rsid w:val="004903A0"/>
    <w:rsid w:val="004907AC"/>
    <w:rsid w:val="00494949"/>
    <w:rsid w:val="00495770"/>
    <w:rsid w:val="004A1057"/>
    <w:rsid w:val="004B3927"/>
    <w:rsid w:val="004B395B"/>
    <w:rsid w:val="004C409F"/>
    <w:rsid w:val="004D5479"/>
    <w:rsid w:val="004D7EDA"/>
    <w:rsid w:val="004E2353"/>
    <w:rsid w:val="004E28F1"/>
    <w:rsid w:val="004E3315"/>
    <w:rsid w:val="004E521C"/>
    <w:rsid w:val="004E5631"/>
    <w:rsid w:val="004F2584"/>
    <w:rsid w:val="004F4D95"/>
    <w:rsid w:val="0051642A"/>
    <w:rsid w:val="00517194"/>
    <w:rsid w:val="00517334"/>
    <w:rsid w:val="005261D7"/>
    <w:rsid w:val="005304AC"/>
    <w:rsid w:val="00536015"/>
    <w:rsid w:val="00542B7B"/>
    <w:rsid w:val="005505E1"/>
    <w:rsid w:val="005553AD"/>
    <w:rsid w:val="00575C01"/>
    <w:rsid w:val="00590312"/>
    <w:rsid w:val="005932D7"/>
    <w:rsid w:val="00594BD5"/>
    <w:rsid w:val="00594CF2"/>
    <w:rsid w:val="005A07CE"/>
    <w:rsid w:val="005B4EBC"/>
    <w:rsid w:val="005B560B"/>
    <w:rsid w:val="005C512E"/>
    <w:rsid w:val="005D0138"/>
    <w:rsid w:val="005D4307"/>
    <w:rsid w:val="005F1EDF"/>
    <w:rsid w:val="005F3D9C"/>
    <w:rsid w:val="00601AF2"/>
    <w:rsid w:val="006104F6"/>
    <w:rsid w:val="00610DFE"/>
    <w:rsid w:val="00615DE0"/>
    <w:rsid w:val="00617747"/>
    <w:rsid w:val="00634C88"/>
    <w:rsid w:val="00636BD4"/>
    <w:rsid w:val="00647226"/>
    <w:rsid w:val="006515DF"/>
    <w:rsid w:val="006601D8"/>
    <w:rsid w:val="00663F93"/>
    <w:rsid w:val="00673888"/>
    <w:rsid w:val="00674486"/>
    <w:rsid w:val="0067686E"/>
    <w:rsid w:val="00684C4D"/>
    <w:rsid w:val="00691060"/>
    <w:rsid w:val="00691FE5"/>
    <w:rsid w:val="00692A77"/>
    <w:rsid w:val="00694963"/>
    <w:rsid w:val="006954B1"/>
    <w:rsid w:val="006A1052"/>
    <w:rsid w:val="006A163B"/>
    <w:rsid w:val="006A6464"/>
    <w:rsid w:val="006C2215"/>
    <w:rsid w:val="006D0F5F"/>
    <w:rsid w:val="006D2A64"/>
    <w:rsid w:val="006D2C9C"/>
    <w:rsid w:val="006E56E5"/>
    <w:rsid w:val="006F09FD"/>
    <w:rsid w:val="006F3A69"/>
    <w:rsid w:val="006F4F03"/>
    <w:rsid w:val="006F6F7D"/>
    <w:rsid w:val="00704612"/>
    <w:rsid w:val="00705540"/>
    <w:rsid w:val="0070556D"/>
    <w:rsid w:val="00710F5E"/>
    <w:rsid w:val="007148C7"/>
    <w:rsid w:val="00717A21"/>
    <w:rsid w:val="00727B82"/>
    <w:rsid w:val="00733873"/>
    <w:rsid w:val="00733A1E"/>
    <w:rsid w:val="0073433E"/>
    <w:rsid w:val="007349A7"/>
    <w:rsid w:val="00740168"/>
    <w:rsid w:val="00743963"/>
    <w:rsid w:val="0074513C"/>
    <w:rsid w:val="00745C52"/>
    <w:rsid w:val="00754646"/>
    <w:rsid w:val="00763D95"/>
    <w:rsid w:val="00791596"/>
    <w:rsid w:val="007A522F"/>
    <w:rsid w:val="007B6BB1"/>
    <w:rsid w:val="007B7EBA"/>
    <w:rsid w:val="007C0BF7"/>
    <w:rsid w:val="007D348B"/>
    <w:rsid w:val="007D4330"/>
    <w:rsid w:val="007D4E99"/>
    <w:rsid w:val="007F6442"/>
    <w:rsid w:val="007F7B50"/>
    <w:rsid w:val="008057DF"/>
    <w:rsid w:val="008106A6"/>
    <w:rsid w:val="00817B06"/>
    <w:rsid w:val="00822328"/>
    <w:rsid w:val="00834D1D"/>
    <w:rsid w:val="00834D7B"/>
    <w:rsid w:val="00836288"/>
    <w:rsid w:val="0084030C"/>
    <w:rsid w:val="00842A07"/>
    <w:rsid w:val="00844A14"/>
    <w:rsid w:val="0084684A"/>
    <w:rsid w:val="00857AA8"/>
    <w:rsid w:val="00862A71"/>
    <w:rsid w:val="00862C0C"/>
    <w:rsid w:val="00865EA9"/>
    <w:rsid w:val="00866584"/>
    <w:rsid w:val="00870AB0"/>
    <w:rsid w:val="00891A1F"/>
    <w:rsid w:val="008947D7"/>
    <w:rsid w:val="008956C6"/>
    <w:rsid w:val="008A26A3"/>
    <w:rsid w:val="008A34B8"/>
    <w:rsid w:val="008B23BC"/>
    <w:rsid w:val="008C0A95"/>
    <w:rsid w:val="008C16B1"/>
    <w:rsid w:val="008C5CF7"/>
    <w:rsid w:val="008E5CA5"/>
    <w:rsid w:val="008F6683"/>
    <w:rsid w:val="00900957"/>
    <w:rsid w:val="009122DD"/>
    <w:rsid w:val="0091452E"/>
    <w:rsid w:val="009159D2"/>
    <w:rsid w:val="0091781C"/>
    <w:rsid w:val="009231D4"/>
    <w:rsid w:val="00923525"/>
    <w:rsid w:val="00925239"/>
    <w:rsid w:val="00941C05"/>
    <w:rsid w:val="0094272F"/>
    <w:rsid w:val="00953B97"/>
    <w:rsid w:val="0095592C"/>
    <w:rsid w:val="00957C7B"/>
    <w:rsid w:val="00957FF8"/>
    <w:rsid w:val="00963541"/>
    <w:rsid w:val="00970832"/>
    <w:rsid w:val="00973A63"/>
    <w:rsid w:val="0098211B"/>
    <w:rsid w:val="00985671"/>
    <w:rsid w:val="00987CFA"/>
    <w:rsid w:val="009914E4"/>
    <w:rsid w:val="009934EB"/>
    <w:rsid w:val="009938F6"/>
    <w:rsid w:val="009A0A43"/>
    <w:rsid w:val="009C12D9"/>
    <w:rsid w:val="009C15DF"/>
    <w:rsid w:val="009C3D1E"/>
    <w:rsid w:val="009C61BE"/>
    <w:rsid w:val="009C7EB0"/>
    <w:rsid w:val="009D194A"/>
    <w:rsid w:val="009E0CDD"/>
    <w:rsid w:val="009E318D"/>
    <w:rsid w:val="009E6CE8"/>
    <w:rsid w:val="009E7D18"/>
    <w:rsid w:val="009E7F56"/>
    <w:rsid w:val="009F32E6"/>
    <w:rsid w:val="00A03AFF"/>
    <w:rsid w:val="00A04C47"/>
    <w:rsid w:val="00A056D5"/>
    <w:rsid w:val="00A120EB"/>
    <w:rsid w:val="00A1221D"/>
    <w:rsid w:val="00A21F17"/>
    <w:rsid w:val="00A625CF"/>
    <w:rsid w:val="00A74761"/>
    <w:rsid w:val="00A875F8"/>
    <w:rsid w:val="00A949C0"/>
    <w:rsid w:val="00AA7501"/>
    <w:rsid w:val="00AB00B9"/>
    <w:rsid w:val="00AB5A7D"/>
    <w:rsid w:val="00AD08E0"/>
    <w:rsid w:val="00AD49CC"/>
    <w:rsid w:val="00AE0740"/>
    <w:rsid w:val="00AF12E5"/>
    <w:rsid w:val="00AF1409"/>
    <w:rsid w:val="00AF7B9D"/>
    <w:rsid w:val="00B06D39"/>
    <w:rsid w:val="00B10CA1"/>
    <w:rsid w:val="00B1118B"/>
    <w:rsid w:val="00B15FC6"/>
    <w:rsid w:val="00B20ADB"/>
    <w:rsid w:val="00B22DBE"/>
    <w:rsid w:val="00B25C98"/>
    <w:rsid w:val="00B50A90"/>
    <w:rsid w:val="00B62E7B"/>
    <w:rsid w:val="00B72567"/>
    <w:rsid w:val="00B73EA9"/>
    <w:rsid w:val="00B75D60"/>
    <w:rsid w:val="00B805F6"/>
    <w:rsid w:val="00B91113"/>
    <w:rsid w:val="00B91452"/>
    <w:rsid w:val="00B91921"/>
    <w:rsid w:val="00B94FF9"/>
    <w:rsid w:val="00BA3C12"/>
    <w:rsid w:val="00BA58AE"/>
    <w:rsid w:val="00BA613B"/>
    <w:rsid w:val="00BA65D0"/>
    <w:rsid w:val="00BB2999"/>
    <w:rsid w:val="00BB413F"/>
    <w:rsid w:val="00BC4F22"/>
    <w:rsid w:val="00BC7FE7"/>
    <w:rsid w:val="00BD32F1"/>
    <w:rsid w:val="00BD4155"/>
    <w:rsid w:val="00BD4B01"/>
    <w:rsid w:val="00BD6B9B"/>
    <w:rsid w:val="00BE0721"/>
    <w:rsid w:val="00BE116A"/>
    <w:rsid w:val="00BE22A8"/>
    <w:rsid w:val="00BE2A87"/>
    <w:rsid w:val="00BE4A32"/>
    <w:rsid w:val="00BF20CA"/>
    <w:rsid w:val="00BF31E7"/>
    <w:rsid w:val="00BF390D"/>
    <w:rsid w:val="00BF3B16"/>
    <w:rsid w:val="00C00771"/>
    <w:rsid w:val="00C00AF8"/>
    <w:rsid w:val="00C0421E"/>
    <w:rsid w:val="00C0706A"/>
    <w:rsid w:val="00C20F2C"/>
    <w:rsid w:val="00C25C0A"/>
    <w:rsid w:val="00C2630C"/>
    <w:rsid w:val="00C318F1"/>
    <w:rsid w:val="00C32391"/>
    <w:rsid w:val="00C36144"/>
    <w:rsid w:val="00C4628D"/>
    <w:rsid w:val="00C46B43"/>
    <w:rsid w:val="00C52CD3"/>
    <w:rsid w:val="00C6649E"/>
    <w:rsid w:val="00C672CE"/>
    <w:rsid w:val="00C81471"/>
    <w:rsid w:val="00C828CA"/>
    <w:rsid w:val="00C83AF5"/>
    <w:rsid w:val="00C85760"/>
    <w:rsid w:val="00CA424E"/>
    <w:rsid w:val="00CA482D"/>
    <w:rsid w:val="00CB1BA0"/>
    <w:rsid w:val="00CB3D06"/>
    <w:rsid w:val="00CB617C"/>
    <w:rsid w:val="00CB7C89"/>
    <w:rsid w:val="00CC0D38"/>
    <w:rsid w:val="00CC0DB3"/>
    <w:rsid w:val="00CC2A55"/>
    <w:rsid w:val="00CC4159"/>
    <w:rsid w:val="00CC4844"/>
    <w:rsid w:val="00CC4E1E"/>
    <w:rsid w:val="00CC5069"/>
    <w:rsid w:val="00CD5277"/>
    <w:rsid w:val="00CD540C"/>
    <w:rsid w:val="00CF1B6A"/>
    <w:rsid w:val="00D027DB"/>
    <w:rsid w:val="00D027EA"/>
    <w:rsid w:val="00D1437C"/>
    <w:rsid w:val="00D16AB5"/>
    <w:rsid w:val="00D33762"/>
    <w:rsid w:val="00D46C48"/>
    <w:rsid w:val="00D60378"/>
    <w:rsid w:val="00D62D88"/>
    <w:rsid w:val="00D70AE7"/>
    <w:rsid w:val="00D731D5"/>
    <w:rsid w:val="00D808A0"/>
    <w:rsid w:val="00D8303E"/>
    <w:rsid w:val="00DB49FE"/>
    <w:rsid w:val="00DB72DF"/>
    <w:rsid w:val="00DD67B1"/>
    <w:rsid w:val="00DD6CEE"/>
    <w:rsid w:val="00DF13BF"/>
    <w:rsid w:val="00DF4492"/>
    <w:rsid w:val="00E06A87"/>
    <w:rsid w:val="00E1613B"/>
    <w:rsid w:val="00E20B98"/>
    <w:rsid w:val="00E359A9"/>
    <w:rsid w:val="00E35B74"/>
    <w:rsid w:val="00E36AA9"/>
    <w:rsid w:val="00E414A8"/>
    <w:rsid w:val="00E55011"/>
    <w:rsid w:val="00E5682E"/>
    <w:rsid w:val="00E578DA"/>
    <w:rsid w:val="00E57D69"/>
    <w:rsid w:val="00E62D8C"/>
    <w:rsid w:val="00E66552"/>
    <w:rsid w:val="00E674BE"/>
    <w:rsid w:val="00E7056D"/>
    <w:rsid w:val="00E714EF"/>
    <w:rsid w:val="00E85958"/>
    <w:rsid w:val="00E902C2"/>
    <w:rsid w:val="00E90639"/>
    <w:rsid w:val="00E955C9"/>
    <w:rsid w:val="00EA2F37"/>
    <w:rsid w:val="00EA6742"/>
    <w:rsid w:val="00EB3159"/>
    <w:rsid w:val="00EB6198"/>
    <w:rsid w:val="00EC22F3"/>
    <w:rsid w:val="00EC3984"/>
    <w:rsid w:val="00EC6822"/>
    <w:rsid w:val="00ED1B14"/>
    <w:rsid w:val="00ED29D2"/>
    <w:rsid w:val="00ED59A9"/>
    <w:rsid w:val="00EE0526"/>
    <w:rsid w:val="00EF16E3"/>
    <w:rsid w:val="00F029CE"/>
    <w:rsid w:val="00F02A5F"/>
    <w:rsid w:val="00F0320C"/>
    <w:rsid w:val="00F05F6D"/>
    <w:rsid w:val="00F15D52"/>
    <w:rsid w:val="00F236EA"/>
    <w:rsid w:val="00F24F09"/>
    <w:rsid w:val="00F26482"/>
    <w:rsid w:val="00F36188"/>
    <w:rsid w:val="00F36DA3"/>
    <w:rsid w:val="00F36E61"/>
    <w:rsid w:val="00F50DA2"/>
    <w:rsid w:val="00F7261E"/>
    <w:rsid w:val="00F8401B"/>
    <w:rsid w:val="00F854A2"/>
    <w:rsid w:val="00F93C7F"/>
    <w:rsid w:val="00FC10F0"/>
    <w:rsid w:val="00FC1BCC"/>
    <w:rsid w:val="00FD2458"/>
    <w:rsid w:val="00FD41DB"/>
    <w:rsid w:val="00FF0826"/>
    <w:rsid w:val="00FF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5:docId w15:val="{7423FA90-1940-492C-9E20-C41574E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sfc"/>
    <w:qFormat/>
    <w:rsid w:val="00337398"/>
    <w:rPr>
      <w:rFonts w:ascii="Arial" w:hAnsi="Arial"/>
      <w:sz w:val="24"/>
      <w:szCs w:val="20"/>
    </w:rPr>
  </w:style>
  <w:style w:type="paragraph" w:styleId="Heading1">
    <w:name w:val="heading 1"/>
    <w:basedOn w:val="Normal"/>
    <w:next w:val="Normal"/>
    <w:link w:val="Heading1Char"/>
    <w:uiPriority w:val="99"/>
    <w:qFormat/>
    <w:rsid w:val="00F029CE"/>
    <w:pPr>
      <w:keepNext/>
      <w:tabs>
        <w:tab w:val="right" w:pos="8640"/>
      </w:tabs>
      <w:spacing w:before="60"/>
      <w:outlineLvl w:val="0"/>
    </w:pPr>
    <w:rPr>
      <w:b/>
      <w:sz w:val="32"/>
    </w:rPr>
  </w:style>
  <w:style w:type="paragraph" w:styleId="Heading2">
    <w:name w:val="heading 2"/>
    <w:basedOn w:val="Normal"/>
    <w:next w:val="Normal"/>
    <w:link w:val="Heading2Char"/>
    <w:uiPriority w:val="99"/>
    <w:qFormat/>
    <w:rsid w:val="00F029CE"/>
    <w:pPr>
      <w:keepNext/>
      <w:tabs>
        <w:tab w:val="right" w:pos="8640"/>
      </w:tabs>
      <w:outlineLvl w:val="1"/>
    </w:pPr>
    <w:rPr>
      <w:b/>
      <w:sz w:val="32"/>
    </w:rPr>
  </w:style>
  <w:style w:type="paragraph" w:styleId="Heading3">
    <w:name w:val="heading 3"/>
    <w:basedOn w:val="Normal"/>
    <w:next w:val="Normal"/>
    <w:link w:val="Heading3Char"/>
    <w:uiPriority w:val="99"/>
    <w:qFormat/>
    <w:rsid w:val="00100E7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0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0570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05709"/>
    <w:rPr>
      <w:rFonts w:asciiTheme="majorHAnsi" w:eastAsiaTheme="majorEastAsia" w:hAnsiTheme="majorHAnsi" w:cstheme="majorBidi"/>
      <w:b/>
      <w:bCs/>
      <w:sz w:val="26"/>
      <w:szCs w:val="26"/>
    </w:rPr>
  </w:style>
  <w:style w:type="paragraph" w:customStyle="1" w:styleId="addresslabel">
    <w:name w:val="address label"/>
    <w:basedOn w:val="Normal"/>
    <w:uiPriority w:val="99"/>
    <w:rsid w:val="00F029CE"/>
  </w:style>
  <w:style w:type="paragraph" w:styleId="Header">
    <w:name w:val="header"/>
    <w:basedOn w:val="Normal"/>
    <w:link w:val="HeaderChar"/>
    <w:uiPriority w:val="99"/>
    <w:rsid w:val="00F029CE"/>
    <w:pPr>
      <w:tabs>
        <w:tab w:val="center" w:pos="4320"/>
        <w:tab w:val="right" w:pos="8640"/>
      </w:tabs>
    </w:pPr>
  </w:style>
  <w:style w:type="character" w:customStyle="1" w:styleId="HeaderChar">
    <w:name w:val="Header Char"/>
    <w:basedOn w:val="DefaultParagraphFont"/>
    <w:link w:val="Header"/>
    <w:uiPriority w:val="99"/>
    <w:semiHidden/>
    <w:rsid w:val="00A05709"/>
    <w:rPr>
      <w:rFonts w:ascii="Arial" w:hAnsi="Arial"/>
      <w:sz w:val="24"/>
      <w:szCs w:val="20"/>
    </w:rPr>
  </w:style>
  <w:style w:type="character" w:styleId="Hyperlink">
    <w:name w:val="Hyperlink"/>
    <w:basedOn w:val="DefaultParagraphFont"/>
    <w:rsid w:val="00100E7F"/>
    <w:rPr>
      <w:rFonts w:cs="Times New Roman"/>
      <w:color w:val="0000FF"/>
      <w:u w:val="single"/>
    </w:rPr>
  </w:style>
  <w:style w:type="paragraph" w:styleId="Footer">
    <w:name w:val="footer"/>
    <w:basedOn w:val="Normal"/>
    <w:link w:val="FooterChar"/>
    <w:uiPriority w:val="99"/>
    <w:rsid w:val="00F029CE"/>
    <w:pPr>
      <w:tabs>
        <w:tab w:val="center" w:pos="4320"/>
        <w:tab w:val="right" w:pos="8640"/>
      </w:tabs>
    </w:pPr>
  </w:style>
  <w:style w:type="character" w:customStyle="1" w:styleId="FooterChar">
    <w:name w:val="Footer Char"/>
    <w:basedOn w:val="DefaultParagraphFont"/>
    <w:link w:val="Footer"/>
    <w:uiPriority w:val="99"/>
    <w:semiHidden/>
    <w:rsid w:val="00A05709"/>
    <w:rPr>
      <w:rFonts w:ascii="Arial" w:hAnsi="Arial"/>
      <w:sz w:val="24"/>
      <w:szCs w:val="20"/>
    </w:rPr>
  </w:style>
  <w:style w:type="paragraph" w:styleId="BalloonText">
    <w:name w:val="Balloon Text"/>
    <w:basedOn w:val="Normal"/>
    <w:link w:val="BalloonTextChar"/>
    <w:uiPriority w:val="99"/>
    <w:semiHidden/>
    <w:rsid w:val="004D5479"/>
    <w:rPr>
      <w:rFonts w:ascii="Tahoma" w:hAnsi="Tahoma" w:cs="Tahoma"/>
      <w:sz w:val="16"/>
      <w:szCs w:val="16"/>
    </w:rPr>
  </w:style>
  <w:style w:type="character" w:customStyle="1" w:styleId="BalloonTextChar">
    <w:name w:val="Balloon Text Char"/>
    <w:basedOn w:val="DefaultParagraphFont"/>
    <w:link w:val="BalloonText"/>
    <w:uiPriority w:val="99"/>
    <w:semiHidden/>
    <w:rsid w:val="00A05709"/>
    <w:rPr>
      <w:sz w:val="0"/>
      <w:szCs w:val="0"/>
    </w:rPr>
  </w:style>
  <w:style w:type="character" w:customStyle="1" w:styleId="ptext-2">
    <w:name w:val="ptext-2"/>
    <w:basedOn w:val="DefaultParagraphFont"/>
    <w:uiPriority w:val="99"/>
    <w:rsid w:val="00BF390D"/>
    <w:rPr>
      <w:rFonts w:cs="Times New Roman"/>
    </w:rPr>
  </w:style>
  <w:style w:type="paragraph" w:styleId="NoSpacing">
    <w:name w:val="No Spacing"/>
    <w:uiPriority w:val="99"/>
    <w:qFormat/>
    <w:rsid w:val="00710F5E"/>
    <w:rPr>
      <w:rFonts w:ascii="Arial" w:hAnsi="Arial"/>
      <w:sz w:val="24"/>
      <w:szCs w:val="20"/>
    </w:rPr>
  </w:style>
  <w:style w:type="paragraph" w:styleId="ListParagraph">
    <w:name w:val="List Paragraph"/>
    <w:aliases w:val="Bullet List,FooterText,List Paragraph1,numbered,Paragraphe de liste1,Foot"/>
    <w:basedOn w:val="Normal"/>
    <w:link w:val="ListParagraphChar"/>
    <w:uiPriority w:val="34"/>
    <w:qFormat/>
    <w:rsid w:val="00CC4E1E"/>
    <w:pPr>
      <w:ind w:left="720"/>
      <w:contextualSpacing/>
    </w:pPr>
  </w:style>
  <w:style w:type="paragraph" w:customStyle="1" w:styleId="BasicParagraph">
    <w:name w:val="[Basic Paragraph]"/>
    <w:basedOn w:val="Normal"/>
    <w:uiPriority w:val="99"/>
    <w:rsid w:val="00F26482"/>
    <w:pPr>
      <w:autoSpaceDE w:val="0"/>
      <w:autoSpaceDN w:val="0"/>
      <w:adjustRightInd w:val="0"/>
      <w:spacing w:line="288" w:lineRule="auto"/>
      <w:textAlignment w:val="center"/>
    </w:pPr>
    <w:rPr>
      <w:rFonts w:ascii="Minion Pro" w:hAnsi="Minion Pro" w:cs="Minion Pro"/>
      <w:color w:val="000000"/>
      <w:szCs w:val="24"/>
    </w:rPr>
  </w:style>
  <w:style w:type="character" w:styleId="CommentReference">
    <w:name w:val="annotation reference"/>
    <w:basedOn w:val="DefaultParagraphFont"/>
    <w:uiPriority w:val="99"/>
    <w:semiHidden/>
    <w:rsid w:val="00F26482"/>
    <w:rPr>
      <w:rFonts w:cs="Times New Roman"/>
      <w:sz w:val="16"/>
      <w:szCs w:val="16"/>
    </w:rPr>
  </w:style>
  <w:style w:type="paragraph" w:styleId="CommentText">
    <w:name w:val="annotation text"/>
    <w:basedOn w:val="Normal"/>
    <w:link w:val="CommentTextChar"/>
    <w:uiPriority w:val="99"/>
    <w:semiHidden/>
    <w:rsid w:val="00F26482"/>
    <w:pPr>
      <w:spacing w:after="120"/>
      <w:jc w:val="both"/>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F26482"/>
    <w:rPr>
      <w:rFonts w:eastAsia="Times New Roman" w:cs="Times New Roman"/>
      <w:lang w:val="en-US" w:eastAsia="en-US" w:bidi="ar-SA"/>
    </w:rPr>
  </w:style>
  <w:style w:type="paragraph" w:styleId="NormalWeb">
    <w:name w:val="Normal (Web)"/>
    <w:basedOn w:val="Normal"/>
    <w:uiPriority w:val="99"/>
    <w:unhideWhenUsed/>
    <w:rsid w:val="002D1045"/>
    <w:pPr>
      <w:spacing w:before="100" w:beforeAutospacing="1" w:after="100" w:afterAutospacing="1"/>
    </w:pPr>
    <w:rPr>
      <w:rFonts w:ascii="Times New Roman" w:hAnsi="Times New Roman"/>
      <w:szCs w:val="24"/>
    </w:rPr>
  </w:style>
  <w:style w:type="character" w:styleId="Strong">
    <w:name w:val="Strong"/>
    <w:basedOn w:val="DefaultParagraphFont"/>
    <w:uiPriority w:val="22"/>
    <w:qFormat/>
    <w:locked/>
    <w:rsid w:val="002D1045"/>
    <w:rPr>
      <w:b/>
      <w:bCs/>
    </w:rPr>
  </w:style>
  <w:style w:type="paragraph" w:styleId="CommentSubject">
    <w:name w:val="annotation subject"/>
    <w:basedOn w:val="CommentText"/>
    <w:next w:val="CommentText"/>
    <w:link w:val="CommentSubjectChar"/>
    <w:uiPriority w:val="99"/>
    <w:semiHidden/>
    <w:unhideWhenUsed/>
    <w:rsid w:val="00727B82"/>
    <w:pPr>
      <w:spacing w:after="0"/>
      <w:jc w:val="left"/>
    </w:pPr>
    <w:rPr>
      <w:rFonts w:ascii="Arial" w:hAnsi="Arial"/>
      <w:b/>
      <w:bCs/>
    </w:rPr>
  </w:style>
  <w:style w:type="character" w:customStyle="1" w:styleId="CommentSubjectChar">
    <w:name w:val="Comment Subject Char"/>
    <w:basedOn w:val="CommentTextChar"/>
    <w:link w:val="CommentSubject"/>
    <w:uiPriority w:val="99"/>
    <w:semiHidden/>
    <w:rsid w:val="00727B82"/>
    <w:rPr>
      <w:rFonts w:ascii="Arial" w:eastAsia="Times New Roman" w:hAnsi="Arial" w:cs="Times New Roman"/>
      <w:b/>
      <w:bCs/>
      <w:sz w:val="20"/>
      <w:szCs w:val="20"/>
      <w:lang w:val="en-US" w:eastAsia="en-US" w:bidi="ar-SA"/>
    </w:rPr>
  </w:style>
  <w:style w:type="paragraph" w:styleId="FootnoteText">
    <w:name w:val="footnote text"/>
    <w:basedOn w:val="Normal"/>
    <w:link w:val="FootnoteTextChar"/>
    <w:uiPriority w:val="99"/>
    <w:semiHidden/>
    <w:unhideWhenUsed/>
    <w:rsid w:val="00DB49FE"/>
    <w:pPr>
      <w:jc w:val="both"/>
    </w:pPr>
    <w:rPr>
      <w:rFonts w:ascii="Times New Roman" w:hAnsi="Times New Roman"/>
      <w:sz w:val="20"/>
    </w:rPr>
  </w:style>
  <w:style w:type="character" w:customStyle="1" w:styleId="FootnoteTextChar">
    <w:name w:val="Footnote Text Char"/>
    <w:basedOn w:val="DefaultParagraphFont"/>
    <w:link w:val="FootnoteText"/>
    <w:uiPriority w:val="99"/>
    <w:semiHidden/>
    <w:rsid w:val="00DB49FE"/>
    <w:rPr>
      <w:sz w:val="20"/>
      <w:szCs w:val="20"/>
    </w:rPr>
  </w:style>
  <w:style w:type="character" w:styleId="FootnoteReference">
    <w:name w:val="footnote reference"/>
    <w:basedOn w:val="DefaultParagraphFont"/>
    <w:uiPriority w:val="99"/>
    <w:semiHidden/>
    <w:unhideWhenUsed/>
    <w:rsid w:val="00DB49FE"/>
    <w:rPr>
      <w:vertAlign w:val="superscript"/>
    </w:rPr>
  </w:style>
  <w:style w:type="paragraph" w:customStyle="1" w:styleId="a">
    <w:name w:val="a"/>
    <w:basedOn w:val="Normal"/>
    <w:uiPriority w:val="99"/>
    <w:rsid w:val="004907AC"/>
    <w:pPr>
      <w:spacing w:before="100" w:beforeAutospacing="1" w:after="100" w:afterAutospacing="1"/>
    </w:pPr>
    <w:rPr>
      <w:rFonts w:ascii="Times New Roman" w:eastAsiaTheme="minorEastAsia" w:hAnsi="Times New Roman"/>
      <w:szCs w:val="24"/>
    </w:rPr>
  </w:style>
  <w:style w:type="paragraph" w:customStyle="1" w:styleId="Default">
    <w:name w:val="Default"/>
    <w:rsid w:val="00FD41DB"/>
    <w:pPr>
      <w:autoSpaceDE w:val="0"/>
      <w:autoSpaceDN w:val="0"/>
      <w:adjustRightInd w:val="0"/>
    </w:pPr>
    <w:rPr>
      <w:rFonts w:ascii="Verdana" w:hAnsi="Verdana" w:cs="Verdana"/>
      <w:color w:val="000000"/>
      <w:sz w:val="24"/>
      <w:szCs w:val="24"/>
    </w:rPr>
  </w:style>
  <w:style w:type="character" w:customStyle="1" w:styleId="ListParagraphChar">
    <w:name w:val="List Paragraph Char"/>
    <w:aliases w:val="Bullet List Char,FooterText Char,List Paragraph1 Char,numbered Char,Paragraphe de liste1 Char,Foot Char"/>
    <w:link w:val="ListParagraph"/>
    <w:uiPriority w:val="34"/>
    <w:locked/>
    <w:rsid w:val="00FD41DB"/>
    <w:rPr>
      <w:rFonts w:ascii="Arial" w:hAnsi="Arial"/>
      <w:sz w:val="24"/>
      <w:szCs w:val="20"/>
    </w:rPr>
  </w:style>
  <w:style w:type="character" w:styleId="Mention">
    <w:name w:val="Mention"/>
    <w:basedOn w:val="DefaultParagraphFont"/>
    <w:uiPriority w:val="99"/>
    <w:semiHidden/>
    <w:unhideWhenUsed/>
    <w:rsid w:val="00BD4155"/>
    <w:rPr>
      <w:color w:val="2B579A"/>
      <w:shd w:val="clear" w:color="auto" w:fill="E6E6E6"/>
    </w:rPr>
  </w:style>
  <w:style w:type="character" w:styleId="FollowedHyperlink">
    <w:name w:val="FollowedHyperlink"/>
    <w:basedOn w:val="DefaultParagraphFont"/>
    <w:uiPriority w:val="99"/>
    <w:semiHidden/>
    <w:unhideWhenUsed/>
    <w:rsid w:val="00BD4B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368">
      <w:bodyDiv w:val="1"/>
      <w:marLeft w:val="0"/>
      <w:marRight w:val="0"/>
      <w:marTop w:val="0"/>
      <w:marBottom w:val="0"/>
      <w:divBdr>
        <w:top w:val="none" w:sz="0" w:space="0" w:color="auto"/>
        <w:left w:val="none" w:sz="0" w:space="0" w:color="auto"/>
        <w:bottom w:val="none" w:sz="0" w:space="0" w:color="auto"/>
        <w:right w:val="none" w:sz="0" w:space="0" w:color="auto"/>
      </w:divBdr>
    </w:div>
    <w:div w:id="105734393">
      <w:bodyDiv w:val="1"/>
      <w:marLeft w:val="0"/>
      <w:marRight w:val="0"/>
      <w:marTop w:val="0"/>
      <w:marBottom w:val="0"/>
      <w:divBdr>
        <w:top w:val="none" w:sz="0" w:space="0" w:color="auto"/>
        <w:left w:val="none" w:sz="0" w:space="0" w:color="auto"/>
        <w:bottom w:val="none" w:sz="0" w:space="0" w:color="auto"/>
        <w:right w:val="none" w:sz="0" w:space="0" w:color="auto"/>
      </w:divBdr>
    </w:div>
    <w:div w:id="117720832">
      <w:bodyDiv w:val="1"/>
      <w:marLeft w:val="0"/>
      <w:marRight w:val="0"/>
      <w:marTop w:val="0"/>
      <w:marBottom w:val="0"/>
      <w:divBdr>
        <w:top w:val="none" w:sz="0" w:space="0" w:color="auto"/>
        <w:left w:val="none" w:sz="0" w:space="0" w:color="auto"/>
        <w:bottom w:val="none" w:sz="0" w:space="0" w:color="auto"/>
        <w:right w:val="none" w:sz="0" w:space="0" w:color="auto"/>
      </w:divBdr>
    </w:div>
    <w:div w:id="221253792">
      <w:bodyDiv w:val="1"/>
      <w:marLeft w:val="0"/>
      <w:marRight w:val="0"/>
      <w:marTop w:val="0"/>
      <w:marBottom w:val="0"/>
      <w:divBdr>
        <w:top w:val="none" w:sz="0" w:space="0" w:color="auto"/>
        <w:left w:val="none" w:sz="0" w:space="0" w:color="auto"/>
        <w:bottom w:val="none" w:sz="0" w:space="0" w:color="auto"/>
        <w:right w:val="none" w:sz="0" w:space="0" w:color="auto"/>
      </w:divBdr>
    </w:div>
    <w:div w:id="244608437">
      <w:bodyDiv w:val="1"/>
      <w:marLeft w:val="0"/>
      <w:marRight w:val="0"/>
      <w:marTop w:val="0"/>
      <w:marBottom w:val="0"/>
      <w:divBdr>
        <w:top w:val="none" w:sz="0" w:space="0" w:color="auto"/>
        <w:left w:val="none" w:sz="0" w:space="0" w:color="auto"/>
        <w:bottom w:val="none" w:sz="0" w:space="0" w:color="auto"/>
        <w:right w:val="none" w:sz="0" w:space="0" w:color="auto"/>
      </w:divBdr>
    </w:div>
    <w:div w:id="290593400">
      <w:bodyDiv w:val="1"/>
      <w:marLeft w:val="0"/>
      <w:marRight w:val="0"/>
      <w:marTop w:val="0"/>
      <w:marBottom w:val="0"/>
      <w:divBdr>
        <w:top w:val="none" w:sz="0" w:space="0" w:color="auto"/>
        <w:left w:val="none" w:sz="0" w:space="0" w:color="auto"/>
        <w:bottom w:val="none" w:sz="0" w:space="0" w:color="auto"/>
        <w:right w:val="none" w:sz="0" w:space="0" w:color="auto"/>
      </w:divBdr>
    </w:div>
    <w:div w:id="405153115">
      <w:bodyDiv w:val="1"/>
      <w:marLeft w:val="0"/>
      <w:marRight w:val="0"/>
      <w:marTop w:val="0"/>
      <w:marBottom w:val="0"/>
      <w:divBdr>
        <w:top w:val="none" w:sz="0" w:space="0" w:color="auto"/>
        <w:left w:val="none" w:sz="0" w:space="0" w:color="auto"/>
        <w:bottom w:val="none" w:sz="0" w:space="0" w:color="auto"/>
        <w:right w:val="none" w:sz="0" w:space="0" w:color="auto"/>
      </w:divBdr>
    </w:div>
    <w:div w:id="419301266">
      <w:bodyDiv w:val="1"/>
      <w:marLeft w:val="0"/>
      <w:marRight w:val="0"/>
      <w:marTop w:val="0"/>
      <w:marBottom w:val="0"/>
      <w:divBdr>
        <w:top w:val="none" w:sz="0" w:space="0" w:color="auto"/>
        <w:left w:val="none" w:sz="0" w:space="0" w:color="auto"/>
        <w:bottom w:val="none" w:sz="0" w:space="0" w:color="auto"/>
        <w:right w:val="none" w:sz="0" w:space="0" w:color="auto"/>
      </w:divBdr>
    </w:div>
    <w:div w:id="497692582">
      <w:bodyDiv w:val="1"/>
      <w:marLeft w:val="0"/>
      <w:marRight w:val="0"/>
      <w:marTop w:val="0"/>
      <w:marBottom w:val="0"/>
      <w:divBdr>
        <w:top w:val="none" w:sz="0" w:space="0" w:color="auto"/>
        <w:left w:val="none" w:sz="0" w:space="0" w:color="auto"/>
        <w:bottom w:val="none" w:sz="0" w:space="0" w:color="auto"/>
        <w:right w:val="none" w:sz="0" w:space="0" w:color="auto"/>
      </w:divBdr>
    </w:div>
    <w:div w:id="609122755">
      <w:bodyDiv w:val="1"/>
      <w:marLeft w:val="0"/>
      <w:marRight w:val="0"/>
      <w:marTop w:val="0"/>
      <w:marBottom w:val="0"/>
      <w:divBdr>
        <w:top w:val="none" w:sz="0" w:space="0" w:color="auto"/>
        <w:left w:val="none" w:sz="0" w:space="0" w:color="auto"/>
        <w:bottom w:val="none" w:sz="0" w:space="0" w:color="auto"/>
        <w:right w:val="none" w:sz="0" w:space="0" w:color="auto"/>
      </w:divBdr>
    </w:div>
    <w:div w:id="640228684">
      <w:bodyDiv w:val="1"/>
      <w:marLeft w:val="0"/>
      <w:marRight w:val="0"/>
      <w:marTop w:val="0"/>
      <w:marBottom w:val="0"/>
      <w:divBdr>
        <w:top w:val="none" w:sz="0" w:space="0" w:color="auto"/>
        <w:left w:val="none" w:sz="0" w:space="0" w:color="auto"/>
        <w:bottom w:val="none" w:sz="0" w:space="0" w:color="auto"/>
        <w:right w:val="none" w:sz="0" w:space="0" w:color="auto"/>
      </w:divBdr>
    </w:div>
    <w:div w:id="712123529">
      <w:bodyDiv w:val="1"/>
      <w:marLeft w:val="0"/>
      <w:marRight w:val="0"/>
      <w:marTop w:val="0"/>
      <w:marBottom w:val="0"/>
      <w:divBdr>
        <w:top w:val="none" w:sz="0" w:space="0" w:color="auto"/>
        <w:left w:val="none" w:sz="0" w:space="0" w:color="auto"/>
        <w:bottom w:val="none" w:sz="0" w:space="0" w:color="auto"/>
        <w:right w:val="none" w:sz="0" w:space="0" w:color="auto"/>
      </w:divBdr>
    </w:div>
    <w:div w:id="740714002">
      <w:bodyDiv w:val="1"/>
      <w:marLeft w:val="0"/>
      <w:marRight w:val="0"/>
      <w:marTop w:val="0"/>
      <w:marBottom w:val="0"/>
      <w:divBdr>
        <w:top w:val="none" w:sz="0" w:space="0" w:color="auto"/>
        <w:left w:val="none" w:sz="0" w:space="0" w:color="auto"/>
        <w:bottom w:val="none" w:sz="0" w:space="0" w:color="auto"/>
        <w:right w:val="none" w:sz="0" w:space="0" w:color="auto"/>
      </w:divBdr>
    </w:div>
    <w:div w:id="792016160">
      <w:bodyDiv w:val="1"/>
      <w:marLeft w:val="0"/>
      <w:marRight w:val="0"/>
      <w:marTop w:val="0"/>
      <w:marBottom w:val="0"/>
      <w:divBdr>
        <w:top w:val="none" w:sz="0" w:space="0" w:color="auto"/>
        <w:left w:val="none" w:sz="0" w:space="0" w:color="auto"/>
        <w:bottom w:val="none" w:sz="0" w:space="0" w:color="auto"/>
        <w:right w:val="none" w:sz="0" w:space="0" w:color="auto"/>
      </w:divBdr>
    </w:div>
    <w:div w:id="811410728">
      <w:bodyDiv w:val="1"/>
      <w:marLeft w:val="0"/>
      <w:marRight w:val="0"/>
      <w:marTop w:val="0"/>
      <w:marBottom w:val="0"/>
      <w:divBdr>
        <w:top w:val="none" w:sz="0" w:space="0" w:color="auto"/>
        <w:left w:val="none" w:sz="0" w:space="0" w:color="auto"/>
        <w:bottom w:val="none" w:sz="0" w:space="0" w:color="auto"/>
        <w:right w:val="none" w:sz="0" w:space="0" w:color="auto"/>
      </w:divBdr>
    </w:div>
    <w:div w:id="811555729">
      <w:bodyDiv w:val="1"/>
      <w:marLeft w:val="0"/>
      <w:marRight w:val="0"/>
      <w:marTop w:val="0"/>
      <w:marBottom w:val="0"/>
      <w:divBdr>
        <w:top w:val="none" w:sz="0" w:space="0" w:color="auto"/>
        <w:left w:val="none" w:sz="0" w:space="0" w:color="auto"/>
        <w:bottom w:val="none" w:sz="0" w:space="0" w:color="auto"/>
        <w:right w:val="none" w:sz="0" w:space="0" w:color="auto"/>
      </w:divBdr>
    </w:div>
    <w:div w:id="847018103">
      <w:bodyDiv w:val="1"/>
      <w:marLeft w:val="0"/>
      <w:marRight w:val="0"/>
      <w:marTop w:val="0"/>
      <w:marBottom w:val="0"/>
      <w:divBdr>
        <w:top w:val="none" w:sz="0" w:space="0" w:color="auto"/>
        <w:left w:val="none" w:sz="0" w:space="0" w:color="auto"/>
        <w:bottom w:val="none" w:sz="0" w:space="0" w:color="auto"/>
        <w:right w:val="none" w:sz="0" w:space="0" w:color="auto"/>
      </w:divBdr>
    </w:div>
    <w:div w:id="1000740236">
      <w:bodyDiv w:val="1"/>
      <w:marLeft w:val="0"/>
      <w:marRight w:val="0"/>
      <w:marTop w:val="0"/>
      <w:marBottom w:val="0"/>
      <w:divBdr>
        <w:top w:val="none" w:sz="0" w:space="0" w:color="auto"/>
        <w:left w:val="none" w:sz="0" w:space="0" w:color="auto"/>
        <w:bottom w:val="none" w:sz="0" w:space="0" w:color="auto"/>
        <w:right w:val="none" w:sz="0" w:space="0" w:color="auto"/>
      </w:divBdr>
    </w:div>
    <w:div w:id="1059983615">
      <w:marLeft w:val="0"/>
      <w:marRight w:val="0"/>
      <w:marTop w:val="0"/>
      <w:marBottom w:val="0"/>
      <w:divBdr>
        <w:top w:val="none" w:sz="0" w:space="0" w:color="auto"/>
        <w:left w:val="none" w:sz="0" w:space="0" w:color="auto"/>
        <w:bottom w:val="none" w:sz="0" w:space="0" w:color="auto"/>
        <w:right w:val="none" w:sz="0" w:space="0" w:color="auto"/>
      </w:divBdr>
    </w:div>
    <w:div w:id="1183740439">
      <w:bodyDiv w:val="1"/>
      <w:marLeft w:val="0"/>
      <w:marRight w:val="0"/>
      <w:marTop w:val="0"/>
      <w:marBottom w:val="0"/>
      <w:divBdr>
        <w:top w:val="none" w:sz="0" w:space="0" w:color="auto"/>
        <w:left w:val="none" w:sz="0" w:space="0" w:color="auto"/>
        <w:bottom w:val="none" w:sz="0" w:space="0" w:color="auto"/>
        <w:right w:val="none" w:sz="0" w:space="0" w:color="auto"/>
      </w:divBdr>
    </w:div>
    <w:div w:id="1252617403">
      <w:bodyDiv w:val="1"/>
      <w:marLeft w:val="0"/>
      <w:marRight w:val="0"/>
      <w:marTop w:val="0"/>
      <w:marBottom w:val="0"/>
      <w:divBdr>
        <w:top w:val="none" w:sz="0" w:space="0" w:color="auto"/>
        <w:left w:val="none" w:sz="0" w:space="0" w:color="auto"/>
        <w:bottom w:val="none" w:sz="0" w:space="0" w:color="auto"/>
        <w:right w:val="none" w:sz="0" w:space="0" w:color="auto"/>
      </w:divBdr>
    </w:div>
    <w:div w:id="1257519605">
      <w:bodyDiv w:val="1"/>
      <w:marLeft w:val="0"/>
      <w:marRight w:val="0"/>
      <w:marTop w:val="0"/>
      <w:marBottom w:val="0"/>
      <w:divBdr>
        <w:top w:val="none" w:sz="0" w:space="0" w:color="auto"/>
        <w:left w:val="none" w:sz="0" w:space="0" w:color="auto"/>
        <w:bottom w:val="none" w:sz="0" w:space="0" w:color="auto"/>
        <w:right w:val="none" w:sz="0" w:space="0" w:color="auto"/>
      </w:divBdr>
    </w:div>
    <w:div w:id="1289779302">
      <w:bodyDiv w:val="1"/>
      <w:marLeft w:val="0"/>
      <w:marRight w:val="0"/>
      <w:marTop w:val="0"/>
      <w:marBottom w:val="0"/>
      <w:divBdr>
        <w:top w:val="none" w:sz="0" w:space="0" w:color="auto"/>
        <w:left w:val="none" w:sz="0" w:space="0" w:color="auto"/>
        <w:bottom w:val="none" w:sz="0" w:space="0" w:color="auto"/>
        <w:right w:val="none" w:sz="0" w:space="0" w:color="auto"/>
      </w:divBdr>
    </w:div>
    <w:div w:id="1314798465">
      <w:bodyDiv w:val="1"/>
      <w:marLeft w:val="0"/>
      <w:marRight w:val="0"/>
      <w:marTop w:val="0"/>
      <w:marBottom w:val="0"/>
      <w:divBdr>
        <w:top w:val="none" w:sz="0" w:space="0" w:color="auto"/>
        <w:left w:val="none" w:sz="0" w:space="0" w:color="auto"/>
        <w:bottom w:val="none" w:sz="0" w:space="0" w:color="auto"/>
        <w:right w:val="none" w:sz="0" w:space="0" w:color="auto"/>
      </w:divBdr>
    </w:div>
    <w:div w:id="1415471360">
      <w:bodyDiv w:val="1"/>
      <w:marLeft w:val="0"/>
      <w:marRight w:val="0"/>
      <w:marTop w:val="0"/>
      <w:marBottom w:val="0"/>
      <w:divBdr>
        <w:top w:val="none" w:sz="0" w:space="0" w:color="auto"/>
        <w:left w:val="none" w:sz="0" w:space="0" w:color="auto"/>
        <w:bottom w:val="none" w:sz="0" w:space="0" w:color="auto"/>
        <w:right w:val="none" w:sz="0" w:space="0" w:color="auto"/>
      </w:divBdr>
    </w:div>
    <w:div w:id="1465734649">
      <w:bodyDiv w:val="1"/>
      <w:marLeft w:val="0"/>
      <w:marRight w:val="0"/>
      <w:marTop w:val="0"/>
      <w:marBottom w:val="0"/>
      <w:divBdr>
        <w:top w:val="none" w:sz="0" w:space="0" w:color="auto"/>
        <w:left w:val="none" w:sz="0" w:space="0" w:color="auto"/>
        <w:bottom w:val="none" w:sz="0" w:space="0" w:color="auto"/>
        <w:right w:val="none" w:sz="0" w:space="0" w:color="auto"/>
      </w:divBdr>
    </w:div>
    <w:div w:id="1510411995">
      <w:bodyDiv w:val="1"/>
      <w:marLeft w:val="0"/>
      <w:marRight w:val="0"/>
      <w:marTop w:val="0"/>
      <w:marBottom w:val="0"/>
      <w:divBdr>
        <w:top w:val="none" w:sz="0" w:space="0" w:color="auto"/>
        <w:left w:val="none" w:sz="0" w:space="0" w:color="auto"/>
        <w:bottom w:val="none" w:sz="0" w:space="0" w:color="auto"/>
        <w:right w:val="none" w:sz="0" w:space="0" w:color="auto"/>
      </w:divBdr>
    </w:div>
    <w:div w:id="1518616980">
      <w:bodyDiv w:val="1"/>
      <w:marLeft w:val="0"/>
      <w:marRight w:val="0"/>
      <w:marTop w:val="0"/>
      <w:marBottom w:val="0"/>
      <w:divBdr>
        <w:top w:val="none" w:sz="0" w:space="0" w:color="auto"/>
        <w:left w:val="none" w:sz="0" w:space="0" w:color="auto"/>
        <w:bottom w:val="none" w:sz="0" w:space="0" w:color="auto"/>
        <w:right w:val="none" w:sz="0" w:space="0" w:color="auto"/>
      </w:divBdr>
    </w:div>
    <w:div w:id="1548684091">
      <w:bodyDiv w:val="1"/>
      <w:marLeft w:val="0"/>
      <w:marRight w:val="0"/>
      <w:marTop w:val="0"/>
      <w:marBottom w:val="0"/>
      <w:divBdr>
        <w:top w:val="none" w:sz="0" w:space="0" w:color="auto"/>
        <w:left w:val="none" w:sz="0" w:space="0" w:color="auto"/>
        <w:bottom w:val="none" w:sz="0" w:space="0" w:color="auto"/>
        <w:right w:val="none" w:sz="0" w:space="0" w:color="auto"/>
      </w:divBdr>
    </w:div>
    <w:div w:id="1688216516">
      <w:bodyDiv w:val="1"/>
      <w:marLeft w:val="0"/>
      <w:marRight w:val="0"/>
      <w:marTop w:val="0"/>
      <w:marBottom w:val="0"/>
      <w:divBdr>
        <w:top w:val="none" w:sz="0" w:space="0" w:color="auto"/>
        <w:left w:val="none" w:sz="0" w:space="0" w:color="auto"/>
        <w:bottom w:val="none" w:sz="0" w:space="0" w:color="auto"/>
        <w:right w:val="none" w:sz="0" w:space="0" w:color="auto"/>
      </w:divBdr>
    </w:div>
    <w:div w:id="1732338690">
      <w:bodyDiv w:val="1"/>
      <w:marLeft w:val="0"/>
      <w:marRight w:val="0"/>
      <w:marTop w:val="0"/>
      <w:marBottom w:val="0"/>
      <w:divBdr>
        <w:top w:val="none" w:sz="0" w:space="0" w:color="auto"/>
        <w:left w:val="none" w:sz="0" w:space="0" w:color="auto"/>
        <w:bottom w:val="none" w:sz="0" w:space="0" w:color="auto"/>
        <w:right w:val="none" w:sz="0" w:space="0" w:color="auto"/>
      </w:divBdr>
    </w:div>
    <w:div w:id="1746301693">
      <w:bodyDiv w:val="1"/>
      <w:marLeft w:val="0"/>
      <w:marRight w:val="0"/>
      <w:marTop w:val="0"/>
      <w:marBottom w:val="0"/>
      <w:divBdr>
        <w:top w:val="none" w:sz="0" w:space="0" w:color="auto"/>
        <w:left w:val="none" w:sz="0" w:space="0" w:color="auto"/>
        <w:bottom w:val="none" w:sz="0" w:space="0" w:color="auto"/>
        <w:right w:val="none" w:sz="0" w:space="0" w:color="auto"/>
      </w:divBdr>
    </w:div>
    <w:div w:id="1889761609">
      <w:bodyDiv w:val="1"/>
      <w:marLeft w:val="0"/>
      <w:marRight w:val="0"/>
      <w:marTop w:val="0"/>
      <w:marBottom w:val="0"/>
      <w:divBdr>
        <w:top w:val="none" w:sz="0" w:space="0" w:color="auto"/>
        <w:left w:val="none" w:sz="0" w:space="0" w:color="auto"/>
        <w:bottom w:val="none" w:sz="0" w:space="0" w:color="auto"/>
        <w:right w:val="none" w:sz="0" w:space="0" w:color="auto"/>
      </w:divBdr>
    </w:div>
    <w:div w:id="1929532705">
      <w:bodyDiv w:val="1"/>
      <w:marLeft w:val="0"/>
      <w:marRight w:val="0"/>
      <w:marTop w:val="0"/>
      <w:marBottom w:val="0"/>
      <w:divBdr>
        <w:top w:val="none" w:sz="0" w:space="0" w:color="auto"/>
        <w:left w:val="none" w:sz="0" w:space="0" w:color="auto"/>
        <w:bottom w:val="none" w:sz="0" w:space="0" w:color="auto"/>
        <w:right w:val="none" w:sz="0" w:space="0" w:color="auto"/>
      </w:divBdr>
    </w:div>
    <w:div w:id="2066949652">
      <w:bodyDiv w:val="1"/>
      <w:marLeft w:val="0"/>
      <w:marRight w:val="0"/>
      <w:marTop w:val="0"/>
      <w:marBottom w:val="0"/>
      <w:divBdr>
        <w:top w:val="none" w:sz="0" w:space="0" w:color="auto"/>
        <w:left w:val="none" w:sz="0" w:space="0" w:color="auto"/>
        <w:bottom w:val="none" w:sz="0" w:space="0" w:color="auto"/>
        <w:right w:val="none" w:sz="0" w:space="0" w:color="auto"/>
      </w:divBdr>
    </w:div>
    <w:div w:id="2100757387">
      <w:bodyDiv w:val="1"/>
      <w:marLeft w:val="0"/>
      <w:marRight w:val="0"/>
      <w:marTop w:val="0"/>
      <w:marBottom w:val="0"/>
      <w:divBdr>
        <w:top w:val="none" w:sz="0" w:space="0" w:color="auto"/>
        <w:left w:val="none" w:sz="0" w:space="0" w:color="auto"/>
        <w:bottom w:val="none" w:sz="0" w:space="0" w:color="auto"/>
        <w:right w:val="none" w:sz="0" w:space="0" w:color="auto"/>
      </w:divBdr>
    </w:div>
    <w:div w:id="212064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ode.com/library/wa/seattle/codes/municipal_code?nodeId=TIT14HURI_14.22SESC_14.22.040ADNOWOSC" TargetMode="External"/><Relationship Id="rId13" Type="http://schemas.openxmlformats.org/officeDocument/2006/relationships/hyperlink" Target="https://www.municode.com/library/wa/seattle/codes/municipal_code?nodeId=TIT14HURI_14.22SESC_14.22.040ADNOWO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nicode.com/library/wa/seattle/codes/municipal_code?nodeId=TIT14HURI_14.22SESC_14.22.040ADNOWOS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nicode.com/library/wa/seattle/codes/municipal_code?nodeId=TIT14HURI_14.22SESC_14.22.040ADNOWOS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unicode.com/library/wa/seattle/codes/municipal_code?nodeId=TIT14HURI_14.22SESC_14.22.040ADNOWOSC" TargetMode="External"/><Relationship Id="rId4" Type="http://schemas.openxmlformats.org/officeDocument/2006/relationships/settings" Target="settings.xml"/><Relationship Id="rId9" Type="http://schemas.openxmlformats.org/officeDocument/2006/relationships/hyperlink" Target="https://www.municode.com/library/wa/seattle/codes/municipal_code?nodeId=TIT14HURI_14.22SESC_14.22.040ADNOWOS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labor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OTHER\LETTER%20HEAD-J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379EF-D8AB-4385-9A7D-D2368A6C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HEAD-JN.dot</Template>
  <TotalTime>23</TotalTime>
  <Pages>4</Pages>
  <Words>1520</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LETTER HEAD</vt:lpstr>
    </vt:vector>
  </TitlesOfParts>
  <Company>City of Seattle, Office of Civil Rights</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dc:title>
  <dc:creator>Default</dc:creator>
  <cp:keywords>Germaine W. Covington, Director</cp:keywords>
  <dc:description>Julie Nelson's Letterhead Template</dc:description>
  <cp:lastModifiedBy>Bronstein, Elliott</cp:lastModifiedBy>
  <cp:revision>4</cp:revision>
  <cp:lastPrinted>2015-07-28T21:42:00Z</cp:lastPrinted>
  <dcterms:created xsi:type="dcterms:W3CDTF">2017-04-12T22:43:00Z</dcterms:created>
  <dcterms:modified xsi:type="dcterms:W3CDTF">2017-04-13T15:55:00Z</dcterms:modified>
</cp:coreProperties>
</file>